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D54B1" w14:textId="5EC601C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7D3F09">
        <w:t xml:space="preserve"> – Holme Hall Primary</w:t>
      </w:r>
    </w:p>
    <w:p w14:paraId="57AD2424" w14:textId="599558B5" w:rsidR="004B1F58" w:rsidRDefault="004B1F58" w:rsidP="004B1F58">
      <w:pPr>
        <w:spacing w:after="0"/>
      </w:pPr>
    </w:p>
    <w:p w14:paraId="16B48015" w14:textId="3F025614" w:rsidR="00E66558" w:rsidRDefault="009D71E8" w:rsidP="00C62989">
      <w:pPr>
        <w:rPr>
          <w:b/>
        </w:rPr>
      </w:pPr>
      <w:r>
        <w:t xml:space="preserve">This statement details our school’s use of pupil </w:t>
      </w:r>
      <w:r w:rsidRPr="005F2600">
        <w:t xml:space="preserve">premium </w:t>
      </w:r>
      <w:r>
        <w:t xml:space="preserve">funding to help improve the attainment of our disadvantaged pupils.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2A7D54B5" w14:textId="77777777" w:rsidR="00E66558" w:rsidRDefault="009D71E8" w:rsidP="00C31636">
            <w:pPr>
              <w:pStyle w:val="TableHeader"/>
              <w:ind w:left="0" w:right="0"/>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tcPr>
          <w:p w14:paraId="51A59785" w14:textId="77777777" w:rsidR="00E66558" w:rsidRDefault="009D71E8" w:rsidP="00C31636">
            <w:pPr>
              <w:pStyle w:val="TableHeader"/>
              <w:ind w:left="0" w:right="0"/>
              <w:jc w:val="left"/>
            </w:pPr>
            <w:r>
              <w:t>Data</w:t>
            </w:r>
          </w:p>
        </w:tc>
      </w:tr>
      <w:tr w:rsidR="002940F3" w14:paraId="2A7D54BA"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8" w14:textId="56337796" w:rsidR="002940F3" w:rsidRDefault="002940F3" w:rsidP="00C31636">
            <w:pPr>
              <w:pStyle w:val="TableRow"/>
              <w:ind w:left="0" w:right="0"/>
            </w:pPr>
            <w:r>
              <w:t>Number of pupils in school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9" w14:textId="5A3FECAD" w:rsidR="002940F3" w:rsidRDefault="0049190C" w:rsidP="00C31636">
            <w:pPr>
              <w:pStyle w:val="TableRow"/>
              <w:ind w:left="0" w:right="0"/>
            </w:pPr>
            <w:r>
              <w:t>127</w:t>
            </w:r>
          </w:p>
        </w:tc>
      </w:tr>
      <w:tr w:rsidR="002940F3" w14:paraId="2A7D54BD"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B" w14:textId="04774D67" w:rsidR="002940F3" w:rsidRDefault="002940F3" w:rsidP="00C31636">
            <w:pPr>
              <w:pStyle w:val="TableRow"/>
              <w:ind w:left="0" w:right="0"/>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C" w14:textId="50E3EE81" w:rsidR="002940F3" w:rsidRDefault="0049190C" w:rsidP="00C31636">
            <w:pPr>
              <w:pStyle w:val="TableRow"/>
              <w:ind w:left="0" w:right="0"/>
            </w:pPr>
            <w:r>
              <w:t>35%</w:t>
            </w:r>
          </w:p>
        </w:tc>
      </w:tr>
      <w:tr w:rsidR="002940F3" w14:paraId="2A7D54C0"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E" w14:textId="2A82B8D4" w:rsidR="002940F3" w:rsidRDefault="002940F3" w:rsidP="00C31636">
            <w:pPr>
              <w:pStyle w:val="TableRow"/>
              <w:ind w:left="0" w:right="0"/>
            </w:pPr>
            <w:r>
              <w:t xml:space="preserve">Academic year/years that our current pupil premium strategy plan covers </w:t>
            </w:r>
            <w:r w:rsidRPr="1CBF4D92">
              <w:rPr>
                <w:b/>
              </w:rPr>
              <w:t>(</w:t>
            </w:r>
            <w:r w:rsidR="004E57C3" w:rsidRPr="004B4D0A">
              <w:rPr>
                <w:b/>
              </w:rPr>
              <w:t>3-year</w:t>
            </w:r>
            <w:r w:rsidRPr="1CBF4D92">
              <w:rPr>
                <w:b/>
              </w:rPr>
              <w:t xml:space="preserve"> plans are recommended</w:t>
            </w:r>
            <w:r w:rsidR="00D5360D">
              <w:rPr>
                <w:b/>
              </w:rPr>
              <w:t xml:space="preserve"> </w:t>
            </w:r>
            <w:r w:rsidR="00560424">
              <w:rPr>
                <w:b/>
              </w:rPr>
              <w:t>– you must still publish an updated statement each academic year</w:t>
            </w:r>
            <w:r w:rsidRPr="1CBF4D92">
              <w:rPr>
                <w:b/>
              </w:rPr>
              <w:t>)</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BF" w14:textId="502235FD" w:rsidR="002940F3" w:rsidRDefault="0049190C" w:rsidP="00C31636">
            <w:pPr>
              <w:pStyle w:val="TableRow"/>
              <w:ind w:left="0" w:right="0"/>
            </w:pPr>
            <w:r>
              <w:t>2024 - 2027</w:t>
            </w:r>
          </w:p>
        </w:tc>
      </w:tr>
      <w:tr w:rsidR="002940F3" w14:paraId="2A7D54C3"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1" w14:textId="0F472705" w:rsidR="002940F3" w:rsidRDefault="002940F3" w:rsidP="00C31636">
            <w:pPr>
              <w:pStyle w:val="TableRow"/>
              <w:ind w:left="0" w:right="0"/>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2" w14:textId="1CBD9AC2" w:rsidR="002940F3" w:rsidRDefault="0049190C" w:rsidP="00C31636">
            <w:pPr>
              <w:pStyle w:val="TableRow"/>
              <w:ind w:left="0" w:right="0"/>
            </w:pPr>
            <w:r>
              <w:t>December 2024</w:t>
            </w:r>
          </w:p>
        </w:tc>
      </w:tr>
      <w:tr w:rsidR="002940F3" w14:paraId="2A7D54C6"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4" w14:textId="0C766347" w:rsidR="002940F3" w:rsidRDefault="002940F3" w:rsidP="00C31636">
            <w:pPr>
              <w:pStyle w:val="TableRow"/>
              <w:ind w:left="0" w:right="0"/>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5" w14:textId="39062939" w:rsidR="002940F3" w:rsidRDefault="0049190C" w:rsidP="00C31636">
            <w:pPr>
              <w:pStyle w:val="TableRow"/>
              <w:ind w:left="0" w:right="0"/>
            </w:pPr>
            <w:r>
              <w:t>July 2025</w:t>
            </w:r>
          </w:p>
        </w:tc>
      </w:tr>
      <w:tr w:rsidR="002940F3" w14:paraId="2A7D54C9"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7" w14:textId="7605248E" w:rsidR="002940F3" w:rsidRDefault="002940F3" w:rsidP="00C31636">
            <w:pPr>
              <w:pStyle w:val="TableRow"/>
              <w:ind w:left="0" w:right="0"/>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8" w14:textId="45D4BC48" w:rsidR="002940F3" w:rsidRDefault="0049190C" w:rsidP="00C31636">
            <w:pPr>
              <w:pStyle w:val="TableRow"/>
              <w:ind w:left="0" w:right="0"/>
            </w:pPr>
            <w:r>
              <w:t xml:space="preserve">Jackie </w:t>
            </w:r>
            <w:proofErr w:type="spellStart"/>
            <w:r>
              <w:t>Littlechilds</w:t>
            </w:r>
            <w:proofErr w:type="spellEnd"/>
          </w:p>
        </w:tc>
      </w:tr>
      <w:tr w:rsidR="002940F3" w14:paraId="2A7D54CC"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A" w14:textId="5DC091D2" w:rsidR="002940F3" w:rsidRDefault="002940F3" w:rsidP="00C31636">
            <w:pPr>
              <w:pStyle w:val="TableRow"/>
              <w:ind w:left="0" w:right="0"/>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B" w14:textId="0F09B5D2" w:rsidR="002940F3" w:rsidRDefault="0049190C" w:rsidP="00C31636">
            <w:pPr>
              <w:pStyle w:val="TableRow"/>
              <w:ind w:left="0" w:right="0"/>
            </w:pPr>
            <w:r>
              <w:t>Sue de Bres</w:t>
            </w:r>
          </w:p>
        </w:tc>
      </w:tr>
      <w:tr w:rsidR="002940F3" w14:paraId="2A7D54CF" w14:textId="77777777" w:rsidTr="3C5A6419">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D" w14:textId="08FA5419" w:rsidR="002940F3" w:rsidRDefault="002940F3" w:rsidP="00C31636">
            <w:pPr>
              <w:pStyle w:val="TableRow"/>
              <w:ind w:left="0" w:right="0"/>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CE" w14:textId="44851D33" w:rsidR="002940F3" w:rsidRDefault="0049190C" w:rsidP="00C31636">
            <w:pPr>
              <w:pStyle w:val="TableRow"/>
              <w:ind w:left="0" w:right="0"/>
            </w:pPr>
            <w:r>
              <w:t xml:space="preserve">Sam </w:t>
            </w:r>
            <w:proofErr w:type="spellStart"/>
            <w:r>
              <w:t>Cowley</w:t>
            </w:r>
            <w:proofErr w:type="spellEnd"/>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4" w14:textId="77777777" w:rsidR="00E66558" w:rsidRDefault="009D71E8" w:rsidP="00C31636">
            <w:pPr>
              <w:pStyle w:val="TableRow"/>
              <w:ind w:left="0" w:right="0"/>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FDCE3"/>
            <w:tcMar>
              <w:top w:w="0" w:type="dxa"/>
              <w:left w:w="108" w:type="dxa"/>
              <w:bottom w:w="0" w:type="dxa"/>
              <w:right w:w="108" w:type="dxa"/>
            </w:tcMar>
            <w:vAlign w:val="center"/>
          </w:tcPr>
          <w:p w14:paraId="2A7D54D5" w14:textId="77777777" w:rsidR="00E66558" w:rsidRDefault="009D71E8" w:rsidP="00C31636">
            <w:pPr>
              <w:pStyle w:val="TableRow"/>
              <w:ind w:left="0" w:right="0"/>
            </w:pPr>
            <w:r>
              <w:rPr>
                <w:b/>
              </w:rPr>
              <w:t>Amount</w:t>
            </w:r>
          </w:p>
        </w:tc>
      </w:tr>
      <w:tr w:rsidR="00E66558" w14:paraId="2A7D54D9"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7" w14:textId="77777777" w:rsidR="00E66558" w:rsidRDefault="009D71E8" w:rsidP="00C31636">
            <w:pPr>
              <w:pStyle w:val="TableRow"/>
              <w:ind w:left="0" w:right="0"/>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8" w14:textId="7D27A504" w:rsidR="00E66558" w:rsidRPr="00622F4F" w:rsidRDefault="00622F4F" w:rsidP="00622F4F">
            <w:pPr>
              <w:suppressAutoHyphens w:val="0"/>
              <w:spacing w:after="0" w:line="240" w:lineRule="auto"/>
              <w:rPr>
                <w:rFonts w:cs="Arial"/>
                <w:color w:val="auto"/>
              </w:rPr>
            </w:pPr>
            <w:r w:rsidRPr="00622F4F">
              <w:rPr>
                <w:rFonts w:cs="Arial"/>
                <w:color w:val="000000"/>
              </w:rPr>
              <w:t>£53,620</w:t>
            </w:r>
          </w:p>
        </w:tc>
      </w:tr>
      <w:tr w:rsidR="00E66558" w14:paraId="2A7D54DF" w14:textId="77777777" w:rsidTr="709C33EC">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center"/>
          </w:tcPr>
          <w:p w14:paraId="2A7D54DD" w14:textId="74690F68" w:rsidR="007109F6" w:rsidRPr="005F16B6" w:rsidRDefault="009D71E8" w:rsidP="00C31636">
            <w:pPr>
              <w:pStyle w:val="TableRow"/>
              <w:spacing w:after="120"/>
              <w:ind w:left="0" w:right="0"/>
            </w:pPr>
            <w:r>
              <w:t>Pupil premium</w:t>
            </w:r>
            <w:r w:rsidR="005F16B6">
              <w:t xml:space="preserve"> </w:t>
            </w:r>
            <w:r>
              <w:t xml:space="preserve">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DE" w14:textId="772A2479" w:rsidR="00E66558" w:rsidRDefault="009D71E8" w:rsidP="00C31636">
            <w:pPr>
              <w:pStyle w:val="TableRow"/>
              <w:ind w:left="0" w:right="0"/>
            </w:pPr>
            <w:r>
              <w:t>£</w:t>
            </w:r>
            <w:r w:rsidR="00622F4F">
              <w:t>0</w:t>
            </w:r>
          </w:p>
        </w:tc>
      </w:tr>
      <w:tr w:rsidR="00E66558" w14:paraId="2A7D54E3" w14:textId="77777777" w:rsidTr="709C33EC">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0" w14:textId="77777777" w:rsidR="00E66558" w:rsidRDefault="009D71E8" w:rsidP="00C31636">
            <w:pPr>
              <w:pStyle w:val="TableRow"/>
              <w:spacing w:after="120"/>
              <w:ind w:left="0" w:right="0"/>
              <w:rPr>
                <w:b/>
              </w:rPr>
            </w:pPr>
            <w:r>
              <w:rPr>
                <w:b/>
              </w:rPr>
              <w:t>Total budget for this academic year</w:t>
            </w:r>
          </w:p>
          <w:p w14:paraId="2A7D54E1" w14:textId="77777777" w:rsidR="00E66558" w:rsidRPr="003C4388" w:rsidRDefault="009D71E8" w:rsidP="00C31636">
            <w:pPr>
              <w:pStyle w:val="TableRow"/>
              <w:ind w:left="0" w:right="0"/>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2A7D54E2" w14:textId="1038A021" w:rsidR="00E66558" w:rsidRPr="00622F4F" w:rsidRDefault="00622F4F" w:rsidP="00C31636">
            <w:pPr>
              <w:pStyle w:val="TableRow"/>
              <w:ind w:left="0" w:right="0"/>
              <w:rPr>
                <w:rFonts w:cs="Arial"/>
              </w:rPr>
            </w:pPr>
            <w:r w:rsidRPr="00622F4F">
              <w:rPr>
                <w:rFonts w:cs="Arial"/>
                <w:color w:val="000000"/>
              </w:rPr>
              <w:t>£53,620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9761E2" w14:textId="77777777" w:rsidR="00622F4F" w:rsidRDefault="00622F4F" w:rsidP="00622F4F">
            <w:r>
              <w:t xml:space="preserve">At Holme Hall Primary, we have high expectations and ambitions for all of our pupils, including those eligible for pupil premium funding. Our intention is that all pupils, irrespective of their background or the challenges they face, make good progress and achieve high attainment across all subject areas. The focus of our pupil premium strategy is to support disadvantaged pupils to achieve that goal. We will ensure that all teaching staff are involved in the analysis of data and identification of pupils, so that they are fully aware of strengths and weaknesses across the school. Common barriers to learning for disadvantaged children can be: lack of support at home, poor language and communication skills, lack of confidence, low </w:t>
            </w:r>
            <w:proofErr w:type="spellStart"/>
            <w:r>
              <w:t>selfesteem</w:t>
            </w:r>
            <w:proofErr w:type="spellEnd"/>
            <w:r>
              <w:t xml:space="preserve">, disruptive behaviour and attendance and punctuality issues. There is also a general lack of ambition and aspiration in the wider community. This diverse range of barriers to learning require a wide range of interventions and approaches. </w:t>
            </w:r>
          </w:p>
          <w:p w14:paraId="609CD3AA" w14:textId="77777777" w:rsidR="00622F4F" w:rsidRDefault="00622F4F" w:rsidP="00622F4F">
            <w:r>
              <w:t xml:space="preserve">In order to </w:t>
            </w:r>
            <w:proofErr w:type="spellStart"/>
            <w:r>
              <w:t>fulfill</w:t>
            </w:r>
            <w:proofErr w:type="spellEnd"/>
            <w:r>
              <w:t xml:space="preserve"> this requirement, we will ensure that every pupil receives quality first teaching. High-quality teaching, with a focus on areas in which disadvantaged pupils require the most support, is proven to have the greatest impact on closing the disadvantage attainment gap. This approach, alongside extra support both in the classroom and in withdrawal groups, will ensure that all pupils achieve at least in line with national standards by Year 6. </w:t>
            </w:r>
          </w:p>
          <w:p w14:paraId="37B36DC4" w14:textId="77777777" w:rsidR="00622F4F" w:rsidRDefault="00622F4F" w:rsidP="00622F4F">
            <w:r>
              <w:t xml:space="preserve">Research shows that disadvantaged pupils have been affected disproportionally by the pandemic. We will aim to close these gaps using the additional funding to target those who need extra support, both educational and emotional. We will endeavour to provide a recovery programme to address the missed learning. We will also strive to address mental health issues through our extensive pastoral support programme. </w:t>
            </w:r>
          </w:p>
          <w:p w14:paraId="0BE340DD" w14:textId="77777777" w:rsidR="00622F4F" w:rsidRDefault="00622F4F" w:rsidP="00622F4F">
            <w:r>
              <w:t>The approaches we have adopted complement each other to help pupils excel. To ensure they are effective we will:</w:t>
            </w:r>
          </w:p>
          <w:p w14:paraId="6C8AC628" w14:textId="6417451A" w:rsidR="00622F4F" w:rsidRDefault="00622F4F" w:rsidP="00622F4F">
            <w:pPr>
              <w:ind w:left="176"/>
            </w:pPr>
            <w:r>
              <w:t xml:space="preserve"> </w:t>
            </w:r>
            <w:r>
              <w:sym w:font="Symbol" w:char="F0B7"/>
            </w:r>
            <w:r w:rsidR="00143EFC">
              <w:t xml:space="preserve"> e</w:t>
            </w:r>
            <w:r>
              <w:t xml:space="preserve">nsure that teaching and learning opportunities meet the needs of all the pupils </w:t>
            </w:r>
          </w:p>
          <w:p w14:paraId="35B9F228" w14:textId="1868CCBD" w:rsidR="00622F4F" w:rsidRDefault="00622F4F" w:rsidP="00622F4F">
            <w:pPr>
              <w:ind w:left="176"/>
            </w:pPr>
            <w:r>
              <w:sym w:font="Symbol" w:char="F0B7"/>
            </w:r>
            <w:r w:rsidR="00143EFC">
              <w:t xml:space="preserve"> e</w:t>
            </w:r>
            <w:r>
              <w:t>nsure that appropriate provision is made for pupils who belong to vulnerable groups, this includes ensuring that the needs of socially disadvantaged pupils are adequately assessed and addressed</w:t>
            </w:r>
          </w:p>
          <w:p w14:paraId="645C9383" w14:textId="6F2D9FA8" w:rsidR="00622F4F" w:rsidRDefault="00622F4F" w:rsidP="00622F4F">
            <w:pPr>
              <w:ind w:left="176"/>
            </w:pPr>
            <w:r>
              <w:t xml:space="preserve"> </w:t>
            </w:r>
            <w:r>
              <w:sym w:font="Symbol" w:char="F0B7"/>
            </w:r>
            <w:r w:rsidR="00143EFC">
              <w:t xml:space="preserve"> i</w:t>
            </w:r>
            <w:r>
              <w:t>n making provision for socially disadvantaged pupils, recognise that not all pupils who receive free school meals will be socially disadvantaged</w:t>
            </w:r>
          </w:p>
          <w:p w14:paraId="47139DAF" w14:textId="2C58A111" w:rsidR="00E66558" w:rsidRDefault="00622F4F" w:rsidP="00622F4F">
            <w:pPr>
              <w:ind w:left="176"/>
            </w:pPr>
            <w:r>
              <w:t xml:space="preserve"> </w:t>
            </w:r>
            <w:r>
              <w:sym w:font="Symbol" w:char="F0B7"/>
            </w:r>
            <w:r w:rsidR="00143EFC">
              <w:t xml:space="preserve"> a</w:t>
            </w:r>
            <w:r>
              <w:t>dopt a whole school approach in which all staff take responsibility for disadvantaged pupils’ outcomes and raise expectations of what they can achieve</w:t>
            </w:r>
          </w:p>
          <w:p w14:paraId="5B85619A" w14:textId="056BD00C" w:rsidR="00166782" w:rsidRDefault="00166782" w:rsidP="00622F4F">
            <w:pPr>
              <w:ind w:left="176"/>
            </w:pPr>
            <w:r>
              <w:lastRenderedPageBreak/>
              <w:t xml:space="preserve">Through implementation of these strategies, we intend </w:t>
            </w:r>
            <w:proofErr w:type="gramStart"/>
            <w:r>
              <w:t>to :</w:t>
            </w:r>
            <w:proofErr w:type="gramEnd"/>
          </w:p>
          <w:p w14:paraId="5083CC17" w14:textId="77777777" w:rsidR="00166782" w:rsidRDefault="00166782" w:rsidP="00622F4F">
            <w:pPr>
              <w:ind w:left="176"/>
            </w:pPr>
            <w:r>
              <w:sym w:font="Symbol" w:char="F0B7"/>
            </w:r>
            <w:r>
              <w:t xml:space="preserve"> narrow the gap between disadvantaged and non-disadvantaged pupils </w:t>
            </w:r>
          </w:p>
          <w:p w14:paraId="0A75E369" w14:textId="77777777" w:rsidR="00166782" w:rsidRDefault="00166782" w:rsidP="00622F4F">
            <w:pPr>
              <w:ind w:left="176"/>
            </w:pPr>
            <w:r>
              <w:sym w:font="Symbol" w:char="F0B7"/>
            </w:r>
            <w:r>
              <w:t xml:space="preserve"> address lost learning due to the pandemic </w:t>
            </w:r>
          </w:p>
          <w:p w14:paraId="3BD20C90" w14:textId="77777777" w:rsidR="00166782" w:rsidRDefault="00166782" w:rsidP="00622F4F">
            <w:pPr>
              <w:ind w:left="176"/>
            </w:pPr>
            <w:r>
              <w:sym w:font="Symbol" w:char="F0B7"/>
            </w:r>
            <w:r>
              <w:t xml:space="preserve"> provide opportunities for nurture and other mental health interventions </w:t>
            </w:r>
          </w:p>
          <w:p w14:paraId="0184591B" w14:textId="77777777" w:rsidR="00166782" w:rsidRDefault="00166782" w:rsidP="00622F4F">
            <w:pPr>
              <w:ind w:left="176"/>
            </w:pPr>
            <w:r>
              <w:sym w:font="Symbol" w:char="F0B7"/>
            </w:r>
            <w:r>
              <w:t xml:space="preserve"> improve vocabulary and communication </w:t>
            </w:r>
          </w:p>
          <w:p w14:paraId="2A7D54E9" w14:textId="70B8EDB6" w:rsidR="00166782" w:rsidRPr="00622F4F" w:rsidRDefault="00166782" w:rsidP="00622F4F">
            <w:pPr>
              <w:ind w:left="176"/>
            </w:pPr>
            <w:r>
              <w:sym w:font="Symbol" w:char="F0B7"/>
            </w:r>
            <w:r>
              <w:t xml:space="preserve"> instil aspiration and ambition</w:t>
            </w:r>
          </w:p>
        </w:tc>
      </w:tr>
    </w:tbl>
    <w:p w14:paraId="2A7D54EB" w14:textId="77777777" w:rsidR="00E66558" w:rsidRDefault="009D71E8">
      <w:pPr>
        <w:pStyle w:val="Heading2"/>
        <w:spacing w:before="600"/>
      </w:pPr>
      <w:r>
        <w:lastRenderedPageBreak/>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rsidTr="00CA4421">
        <w:tc>
          <w:tcPr>
            <w:tcW w:w="1477"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D" w14:textId="77777777" w:rsidR="00E66558" w:rsidRDefault="009D71E8" w:rsidP="00C31636">
            <w:pPr>
              <w:pStyle w:val="TableHeader"/>
              <w:ind w:left="0" w:right="0"/>
              <w:jc w:val="left"/>
            </w:pPr>
            <w:r>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4EE" w14:textId="77777777" w:rsidR="00E66558" w:rsidRDefault="009D71E8" w:rsidP="00C31636">
            <w:pPr>
              <w:pStyle w:val="TableHeader"/>
              <w:ind w:left="0" w:right="0"/>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0" w14:textId="77777777" w:rsidR="00E66558" w:rsidRDefault="009D71E8" w:rsidP="00C31636">
            <w:pPr>
              <w:pStyle w:val="TableRow"/>
              <w:ind w:left="0" w:right="0"/>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1" w14:textId="435B41C4" w:rsidR="00E66558" w:rsidRDefault="00440478" w:rsidP="00440478">
            <w:pPr>
              <w:pStyle w:val="TableRowCentered"/>
              <w:ind w:left="0" w:right="0"/>
              <w:jc w:val="left"/>
            </w:pPr>
            <w:r>
              <w:t xml:space="preserve">Lockdown – disadvantaged pupils suffered the most lost learning during lockdown </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3" w14:textId="77777777" w:rsidR="00E66558" w:rsidRDefault="009D71E8" w:rsidP="00C31636">
            <w:pPr>
              <w:pStyle w:val="TableRow"/>
              <w:ind w:left="0" w:right="0"/>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4" w14:textId="3EF2A117" w:rsidR="00E66558" w:rsidRDefault="00440478" w:rsidP="00C31636">
            <w:pPr>
              <w:pStyle w:val="TableRowCentered"/>
              <w:ind w:left="0" w:right="0"/>
              <w:jc w:val="left"/>
              <w:rPr>
                <w:sz w:val="22"/>
                <w:szCs w:val="22"/>
              </w:rPr>
            </w:pPr>
            <w:r>
              <w:t>Phonics – a higher proportion of disadvantaged pupils fail their phonics check</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6" w14:textId="77777777" w:rsidR="00E66558" w:rsidRDefault="009D71E8" w:rsidP="00C31636">
            <w:pPr>
              <w:pStyle w:val="TableRow"/>
              <w:ind w:left="0" w:right="0"/>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7" w14:textId="1608A825" w:rsidR="00E66558" w:rsidRDefault="00440478" w:rsidP="00C31636">
            <w:pPr>
              <w:pStyle w:val="TableRowCentered"/>
              <w:ind w:left="0" w:right="0"/>
              <w:jc w:val="left"/>
              <w:rPr>
                <w:sz w:val="22"/>
                <w:szCs w:val="22"/>
              </w:rPr>
            </w:pPr>
            <w:r>
              <w:t>Vocabulary and language – disadvantaged pupils tend to have less exposure to varied vocabulary and can struggle with communication</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9" w14:textId="77777777" w:rsidR="00E66558" w:rsidRDefault="009D71E8" w:rsidP="00C31636">
            <w:pPr>
              <w:pStyle w:val="TableRow"/>
              <w:ind w:left="0" w:right="0"/>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A" w14:textId="3BB801F3" w:rsidR="00E66558" w:rsidRDefault="00440478" w:rsidP="00C31636">
            <w:pPr>
              <w:pStyle w:val="TableRowCentered"/>
              <w:ind w:left="0" w:right="0"/>
              <w:jc w:val="left"/>
              <w:rPr>
                <w:iCs/>
                <w:sz w:val="22"/>
              </w:rPr>
            </w:pPr>
            <w:r>
              <w:t>Aspiration and ambition – there is a lack of desire for improvement in many disadvantaged families</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C" w14:textId="77777777" w:rsidR="00E66558" w:rsidRDefault="009D71E8" w:rsidP="00C31636">
            <w:pPr>
              <w:pStyle w:val="TableRow"/>
              <w:ind w:left="0" w:right="0"/>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4FD" w14:textId="58470B1A" w:rsidR="00E66558" w:rsidRDefault="00440478" w:rsidP="00C31636">
            <w:pPr>
              <w:pStyle w:val="TableRowCentered"/>
              <w:ind w:left="0" w:right="0"/>
              <w:jc w:val="left"/>
              <w:rPr>
                <w:iCs/>
                <w:sz w:val="22"/>
              </w:rPr>
            </w:pPr>
            <w:r>
              <w:t>Emotional needs - there has been a rise in problems in mental health since the pandemic exacerbated by the current cost of living crisis</w:t>
            </w:r>
          </w:p>
        </w:tc>
      </w:tr>
      <w:tr w:rsidR="00440478" w14:paraId="1353D512"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F14ED" w14:textId="37172C71" w:rsidR="00440478" w:rsidRDefault="00440478" w:rsidP="00C31636">
            <w:pPr>
              <w:pStyle w:val="TableRow"/>
              <w:ind w:left="0" w:right="0"/>
              <w:rPr>
                <w:sz w:val="22"/>
                <w:szCs w:val="22"/>
              </w:rPr>
            </w:pPr>
            <w:r>
              <w:rPr>
                <w:sz w:val="22"/>
                <w:szCs w:val="22"/>
              </w:rPr>
              <w:t>6</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12ABC1" w14:textId="0F38FBB9" w:rsidR="00440478" w:rsidRDefault="00440478" w:rsidP="00C31636">
            <w:pPr>
              <w:pStyle w:val="TableRowCentered"/>
              <w:ind w:left="0" w:right="0"/>
              <w:jc w:val="left"/>
            </w:pPr>
            <w:r>
              <w:t>Writing outcomes – disadvantaged pupils do not achieve as well in writing</w:t>
            </w:r>
          </w:p>
        </w:tc>
      </w:tr>
      <w:tr w:rsidR="00440478" w14:paraId="63EF8B5D" w14:textId="77777777">
        <w:tc>
          <w:tcPr>
            <w:tcW w:w="14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E3D8A7" w14:textId="43C0DE9D" w:rsidR="00440478" w:rsidRDefault="00440478" w:rsidP="00C31636">
            <w:pPr>
              <w:pStyle w:val="TableRow"/>
              <w:ind w:left="0" w:right="0"/>
              <w:rPr>
                <w:sz w:val="22"/>
                <w:szCs w:val="22"/>
              </w:rPr>
            </w:pPr>
            <w:r>
              <w:rPr>
                <w:sz w:val="22"/>
                <w:szCs w:val="22"/>
              </w:rPr>
              <w:t>7</w:t>
            </w:r>
          </w:p>
        </w:tc>
        <w:tc>
          <w:tcPr>
            <w:tcW w:w="80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FB54C3" w14:textId="6E2FCA05" w:rsidR="00440478" w:rsidRDefault="00440478" w:rsidP="00C31636">
            <w:pPr>
              <w:pStyle w:val="TableRowCentered"/>
              <w:ind w:left="0" w:right="0"/>
              <w:jc w:val="left"/>
            </w:pPr>
            <w:r>
              <w:t>Enriching experiences – disadvantaged pupils have fewer rich and varied experiences outside school</w:t>
            </w:r>
          </w:p>
        </w:tc>
      </w:tr>
    </w:tbl>
    <w:p w14:paraId="2A7D54FF" w14:textId="77777777" w:rsidR="00E66558" w:rsidRDefault="009D71E8">
      <w:pPr>
        <w:pStyle w:val="Heading2"/>
        <w:spacing w:before="600"/>
      </w:pPr>
      <w:r>
        <w:t xml:space="preserve">Intended </w:t>
      </w:r>
      <w:r w:rsidRPr="00A968DA">
        <w:t>outcomes</w:t>
      </w:r>
      <w:r>
        <w:t xml:space="preserve"> </w:t>
      </w:r>
    </w:p>
    <w:p w14:paraId="2A7D5500" w14:textId="77777777" w:rsidR="00E66558" w:rsidRDefault="009D71E8">
      <w:r>
        <w:rPr>
          <w:color w:val="auto"/>
        </w:rPr>
        <w:t xml:space="preserve">This explains the outcomes we are aiming for </w:t>
      </w:r>
      <w:r>
        <w:rPr>
          <w:b/>
          <w:bCs/>
          <w:color w:val="auto"/>
        </w:rPr>
        <w:t>by the end of our current strategy plan</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1" w14:textId="77777777" w:rsidR="00E66558" w:rsidRDefault="009D71E8" w:rsidP="00C31636">
            <w:pPr>
              <w:pStyle w:val="TableHeader"/>
              <w:ind w:left="0" w:right="0"/>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02" w14:textId="77777777" w:rsidR="00E66558" w:rsidRDefault="009D71E8" w:rsidP="00C31636">
            <w:pPr>
              <w:pStyle w:val="TableHeader"/>
              <w:ind w:left="0" w:right="0"/>
              <w:jc w:val="left"/>
            </w:pPr>
            <w:r>
              <w:t>Success criteria</w:t>
            </w:r>
          </w:p>
        </w:tc>
      </w:tr>
      <w:tr w:rsidR="00E66558" w14:paraId="2A7D550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4" w14:textId="67261342" w:rsidR="00E66558" w:rsidRDefault="00440478" w:rsidP="00C31636">
            <w:pPr>
              <w:pStyle w:val="TableRow"/>
              <w:ind w:left="0" w:right="0"/>
            </w:pPr>
            <w:r>
              <w:t>Close the gap created by lockdown</w:t>
            </w:r>
            <w:bookmarkStart w:id="17" w:name="_GoBack"/>
            <w:bookmarkEnd w:id="17"/>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A9C1D1A" w14:textId="77777777" w:rsidR="00CC5ACF" w:rsidRDefault="00440478" w:rsidP="00C31636">
            <w:pPr>
              <w:pStyle w:val="TableRowCentered"/>
              <w:ind w:left="0" w:right="0"/>
              <w:jc w:val="left"/>
            </w:pPr>
            <w:r>
              <w:t xml:space="preserve">Pupils will be assessed and areas of weakness identified through pupil progress meetings, SWOT analysis and </w:t>
            </w:r>
            <w:r>
              <w:lastRenderedPageBreak/>
              <w:t xml:space="preserve">identification of barriers (credible plans) Intervention groups will run to address areas of weakness in Phonics (Little </w:t>
            </w:r>
            <w:proofErr w:type="spellStart"/>
            <w:r>
              <w:t>Wandle</w:t>
            </w:r>
            <w:proofErr w:type="spellEnd"/>
            <w:r>
              <w:t xml:space="preserve"> Catch Up/ Keep Up) and Maths intervention groups. Additio</w:t>
            </w:r>
            <w:r w:rsidR="00CC5ACF">
              <w:t>nal support in class p</w:t>
            </w:r>
            <w:r>
              <w:t>rogrammes such as precision teaching used to close gaps</w:t>
            </w:r>
            <w:r w:rsidR="00CC5ACF">
              <w:t>.</w:t>
            </w:r>
            <w:r>
              <w:t xml:space="preserve"> Credible plans identify gaps and barriers</w:t>
            </w:r>
            <w:r w:rsidR="00CC5ACF">
              <w:t>.</w:t>
            </w:r>
            <w:r>
              <w:t xml:space="preserve"> </w:t>
            </w:r>
            <w:proofErr w:type="spellStart"/>
            <w:r>
              <w:t>Walkthrus</w:t>
            </w:r>
            <w:proofErr w:type="spellEnd"/>
            <w:r>
              <w:t xml:space="preserve"> identify strategies to address barriers </w:t>
            </w:r>
          </w:p>
          <w:p w14:paraId="2A7D5505" w14:textId="60BCEB4F" w:rsidR="00E66558" w:rsidRDefault="00440478" w:rsidP="00C31636">
            <w:pPr>
              <w:pStyle w:val="TableRowCentered"/>
              <w:ind w:left="0" w:right="0"/>
              <w:jc w:val="left"/>
              <w:rPr>
                <w:sz w:val="22"/>
                <w:szCs w:val="22"/>
              </w:rPr>
            </w:pPr>
            <w:r>
              <w:t>Measure: Disadvantaged children will match or exceed the progress of non-disadvantaged pupils</w:t>
            </w:r>
          </w:p>
        </w:tc>
      </w:tr>
      <w:tr w:rsidR="00E66558" w14:paraId="2A7D5509"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7" w14:textId="7A28AB99" w:rsidR="00E66558" w:rsidRDefault="00440478" w:rsidP="00C31636">
            <w:pPr>
              <w:pStyle w:val="TableRow"/>
              <w:ind w:left="0" w:right="0"/>
              <w:rPr>
                <w:sz w:val="22"/>
                <w:szCs w:val="22"/>
              </w:rPr>
            </w:pPr>
            <w:r>
              <w:lastRenderedPageBreak/>
              <w:t>Improved aspiration and ambition</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BBD3B4" w14:textId="77777777" w:rsidR="00CC5ACF" w:rsidRDefault="00440478" w:rsidP="00C31636">
            <w:pPr>
              <w:pStyle w:val="TableRowCentered"/>
              <w:ind w:left="0" w:right="0"/>
              <w:jc w:val="left"/>
            </w:pPr>
            <w:r>
              <w:t xml:space="preserve">Aspiration is one of our school drivers and as such, is taught in all areas of the curriculum. We focus on aspiration when planning topics through investigating related careers and inviting guests into school. Learning includes cultural capital, giving pupils a wider knowledge of the world around them. </w:t>
            </w:r>
          </w:p>
          <w:p w14:paraId="2A7D5508" w14:textId="3FD3E9C4" w:rsidR="00E66558" w:rsidRDefault="00440478" w:rsidP="00C31636">
            <w:pPr>
              <w:pStyle w:val="TableRowCentered"/>
              <w:ind w:left="0" w:right="0"/>
              <w:jc w:val="left"/>
              <w:rPr>
                <w:sz w:val="22"/>
                <w:szCs w:val="22"/>
              </w:rPr>
            </w:pPr>
            <w:r>
              <w:t>Measure: Pupils can talk confidently about opportunities available to them Pupils can talk confidently about the values and drivers of the school.</w:t>
            </w:r>
          </w:p>
        </w:tc>
      </w:tr>
      <w:tr w:rsidR="00E66558" w14:paraId="2A7D550C"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A" w14:textId="10F7B3FE" w:rsidR="00E66558" w:rsidRDefault="00440478" w:rsidP="00C31636">
            <w:pPr>
              <w:pStyle w:val="TableRow"/>
              <w:ind w:left="0" w:right="0"/>
              <w:rPr>
                <w:sz w:val="22"/>
                <w:szCs w:val="22"/>
              </w:rPr>
            </w:pPr>
            <w:r>
              <w:t>Improved knowledge of phonics</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6D399" w14:textId="77777777" w:rsidR="00CC5ACF" w:rsidRDefault="00440478" w:rsidP="00C31636">
            <w:pPr>
              <w:pStyle w:val="TableRowCentered"/>
              <w:ind w:left="0" w:right="0"/>
              <w:jc w:val="left"/>
            </w:pPr>
            <w:r>
              <w:t>Phonics teaching will continue in KS2 Following assessments, phonics interventions groups run in LKS2 Precision teaching of unknown phonemes Using phonics mats in lessons</w:t>
            </w:r>
            <w:r w:rsidR="00CC5ACF">
              <w:t>.</w:t>
            </w:r>
            <w:r>
              <w:t xml:space="preserve"> Reading books matched to gaps</w:t>
            </w:r>
            <w:r w:rsidR="00CC5ACF">
              <w:t>.</w:t>
            </w:r>
          </w:p>
          <w:p w14:paraId="2A7D550B" w14:textId="0FD08CA7" w:rsidR="00E66558" w:rsidRDefault="00440478" w:rsidP="00C31636">
            <w:pPr>
              <w:pStyle w:val="TableRowCentered"/>
              <w:ind w:left="0" w:right="0"/>
              <w:jc w:val="left"/>
              <w:rPr>
                <w:sz w:val="22"/>
                <w:szCs w:val="22"/>
              </w:rPr>
            </w:pPr>
            <w:r>
              <w:t>Measure: A higher % will pass their phonics check</w:t>
            </w:r>
            <w:r w:rsidR="00CC5ACF">
              <w:t>.</w:t>
            </w:r>
            <w:r>
              <w:t xml:space="preserve"> Regular assessments in Little </w:t>
            </w:r>
            <w:proofErr w:type="spellStart"/>
            <w:r>
              <w:t>Wandle</w:t>
            </w:r>
            <w:proofErr w:type="spellEnd"/>
            <w:r>
              <w:t xml:space="preserve"> to identify gaps</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0D" w14:textId="22116EC9" w:rsidR="00E66558" w:rsidRDefault="00440478" w:rsidP="00C31636">
            <w:pPr>
              <w:pStyle w:val="TableRow"/>
              <w:ind w:left="0" w:right="0"/>
              <w:rPr>
                <w:sz w:val="22"/>
                <w:szCs w:val="22"/>
              </w:rPr>
            </w:pPr>
            <w:r>
              <w:t>Improvement in vocabulary and language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07E6AF" w14:textId="77777777" w:rsidR="00CC5ACF" w:rsidRDefault="00440478" w:rsidP="00C31636">
            <w:pPr>
              <w:pStyle w:val="TableRowCentered"/>
              <w:ind w:left="0" w:right="0"/>
              <w:jc w:val="left"/>
            </w:pPr>
            <w:r>
              <w:t>At-risk pupils will be identified at an early stage and interventions put in place: Book Group</w:t>
            </w:r>
            <w:r w:rsidR="00CC5ACF">
              <w:t>,</w:t>
            </w:r>
            <w:r>
              <w:t xml:space="preserve"> Talk 4 Writing</w:t>
            </w:r>
            <w:r w:rsidR="00CC5ACF">
              <w:t>,</w:t>
            </w:r>
            <w:r>
              <w:t xml:space="preserve"> ECAT Speech and Language therapy</w:t>
            </w:r>
            <w:r w:rsidR="00CC5ACF">
              <w:t>.</w:t>
            </w:r>
            <w:r>
              <w:t xml:space="preserve"> </w:t>
            </w:r>
            <w:r w:rsidR="00CC5ACF">
              <w:t>In class: Knowledge O</w:t>
            </w:r>
            <w:r>
              <w:t>rganisers</w:t>
            </w:r>
            <w:r w:rsidR="00CC5ACF">
              <w:t>,</w:t>
            </w:r>
            <w:r>
              <w:t xml:space="preserve"> Low stakes quizzes</w:t>
            </w:r>
            <w:r w:rsidR="00CC5ACF">
              <w:t>,</w:t>
            </w:r>
            <w:r>
              <w:t xml:space="preserve"> Vocabulary included on topic displays</w:t>
            </w:r>
            <w:r w:rsidR="00CC5ACF">
              <w:t>,</w:t>
            </w:r>
            <w:r>
              <w:t xml:space="preserve"> </w:t>
            </w:r>
            <w:proofErr w:type="spellStart"/>
            <w:r>
              <w:t>Kagan</w:t>
            </w:r>
            <w:proofErr w:type="spellEnd"/>
            <w:r>
              <w:t xml:space="preserve"> groupings</w:t>
            </w:r>
            <w:r w:rsidR="00CC5ACF">
              <w:t>,</w:t>
            </w:r>
            <w:r>
              <w:t xml:space="preserve"> Vocabulary pyramid</w:t>
            </w:r>
            <w:r w:rsidR="00CC5ACF">
              <w:t>,</w:t>
            </w:r>
            <w:r>
              <w:t xml:space="preserve"> Language Link for EAL children</w:t>
            </w:r>
            <w:r w:rsidR="00CC5ACF">
              <w:t xml:space="preserve">. Peer </w:t>
            </w:r>
            <w:r>
              <w:t>mentoring</w:t>
            </w:r>
            <w:r w:rsidR="00CC5ACF">
              <w:t>,</w:t>
            </w:r>
            <w:r>
              <w:t xml:space="preserve"> Mini Leaders programme </w:t>
            </w:r>
            <w:proofErr w:type="spellStart"/>
            <w:r>
              <w:t>Oracy</w:t>
            </w:r>
            <w:proofErr w:type="spellEnd"/>
            <w:r>
              <w:t xml:space="preserve"> opportunities identified on medium term topic plans, for example, children present their learning to others</w:t>
            </w:r>
            <w:r w:rsidR="00CC5ACF">
              <w:t>.</w:t>
            </w:r>
          </w:p>
          <w:p w14:paraId="74CD3EEB" w14:textId="77777777" w:rsidR="00CC5ACF" w:rsidRDefault="00440478" w:rsidP="00C31636">
            <w:pPr>
              <w:pStyle w:val="TableRowCentered"/>
              <w:ind w:left="0" w:right="0"/>
              <w:jc w:val="left"/>
            </w:pPr>
            <w:r>
              <w:t xml:space="preserve">Measure: Pupils will use a wide vocabulary when talking and writing and be able to communicate successfully. </w:t>
            </w:r>
            <w:r>
              <w:lastRenderedPageBreak/>
              <w:t xml:space="preserve">Higher percentage of children on track with CLL in EYFS </w:t>
            </w:r>
          </w:p>
          <w:p w14:paraId="2A7D550E" w14:textId="517E4942" w:rsidR="00E66558" w:rsidRDefault="00440478" w:rsidP="00C31636">
            <w:pPr>
              <w:pStyle w:val="TableRowCentered"/>
              <w:ind w:left="0" w:right="0"/>
              <w:jc w:val="left"/>
              <w:rPr>
                <w:sz w:val="22"/>
                <w:szCs w:val="22"/>
              </w:rPr>
            </w:pPr>
            <w:r>
              <w:t>Reduction in SALT referrals</w:t>
            </w:r>
          </w:p>
        </w:tc>
      </w:tr>
      <w:tr w:rsidR="00440478" w14:paraId="6FC726D4"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96D5C0" w14:textId="0D53C99C" w:rsidR="00440478" w:rsidRDefault="00440478" w:rsidP="00C31636">
            <w:pPr>
              <w:pStyle w:val="TableRow"/>
              <w:ind w:left="0" w:right="0"/>
              <w:rPr>
                <w:sz w:val="22"/>
                <w:szCs w:val="22"/>
              </w:rPr>
            </w:pPr>
            <w:r>
              <w:lastRenderedPageBreak/>
              <w:t>Catch up 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1FE497" w14:textId="77777777" w:rsidR="00CC5ACF" w:rsidRDefault="00440478" w:rsidP="00C31636">
            <w:pPr>
              <w:pStyle w:val="TableRowCentered"/>
              <w:ind w:left="0" w:right="0"/>
              <w:jc w:val="left"/>
            </w:pPr>
            <w:r>
              <w:t xml:space="preserve">Children who are falling behind their peers will be identified and clear processes put in place to ensure that all children are given the support needed to make at least expected progress. </w:t>
            </w:r>
          </w:p>
          <w:p w14:paraId="2FF042FD" w14:textId="4E449DF0" w:rsidR="00CA2561" w:rsidRDefault="00440478" w:rsidP="00C31636">
            <w:pPr>
              <w:pStyle w:val="TableRowCentered"/>
              <w:ind w:left="0" w:right="0"/>
              <w:jc w:val="left"/>
            </w:pPr>
            <w:r>
              <w:t xml:space="preserve">The school will use </w:t>
            </w:r>
            <w:proofErr w:type="spellStart"/>
            <w:r>
              <w:t>Hellod</w:t>
            </w:r>
            <w:r w:rsidR="00CC5ACF">
              <w:t>ata</w:t>
            </w:r>
            <w:proofErr w:type="spellEnd"/>
            <w:r w:rsidR="00CC5ACF">
              <w:t xml:space="preserve"> </w:t>
            </w:r>
            <w:r>
              <w:t>to identify which children are at</w:t>
            </w:r>
            <w:r w:rsidR="00CC5ACF">
              <w:t xml:space="preserve"> risk of or have fallen behind, strategies</w:t>
            </w:r>
            <w:r w:rsidR="00CA2561">
              <w:t xml:space="preserve"> will</w:t>
            </w:r>
            <w:r w:rsidR="00CC5ACF">
              <w:t xml:space="preserve"> then</w:t>
            </w:r>
            <w:r w:rsidR="00CA2561">
              <w:t xml:space="preserve"> be</w:t>
            </w:r>
            <w:r w:rsidR="00CC5ACF">
              <w:t xml:space="preserve"> discussed in pupil progress meetings,</w:t>
            </w:r>
          </w:p>
          <w:p w14:paraId="0B195A62" w14:textId="3140D643" w:rsidR="00CC5ACF" w:rsidRDefault="00440478" w:rsidP="00C31636">
            <w:pPr>
              <w:pStyle w:val="TableRowCentered"/>
              <w:ind w:left="0" w:right="0"/>
              <w:jc w:val="left"/>
            </w:pPr>
            <w:r>
              <w:t xml:space="preserve">Teachers will create ‘credible plans’ which identify gaps, address barriers and plan interventions </w:t>
            </w:r>
            <w:r w:rsidR="00CC5ACF">
              <w:t>such as: targeted TLA intervention groups, TLA support in the classroom, m</w:t>
            </w:r>
            <w:r w:rsidR="00CA2561">
              <w:t>ental health support.</w:t>
            </w:r>
          </w:p>
          <w:p w14:paraId="1B92F4D4" w14:textId="4728F4F7" w:rsidR="00440478" w:rsidRPr="00CC5ACF" w:rsidRDefault="00440478" w:rsidP="00C31636">
            <w:pPr>
              <w:pStyle w:val="TableRowCentered"/>
              <w:ind w:left="0" w:right="0"/>
              <w:jc w:val="left"/>
            </w:pPr>
            <w:r>
              <w:t xml:space="preserve">Measures: Outcomes will reflect an increased % </w:t>
            </w:r>
            <w:r w:rsidR="00CC5ACF">
              <w:t>of pupils reaching at least EXS, t</w:t>
            </w:r>
            <w:r>
              <w:t>ermly data collection and analysis</w:t>
            </w:r>
          </w:p>
        </w:tc>
      </w:tr>
      <w:tr w:rsidR="00440478" w14:paraId="0BF5F8C6"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761141" w14:textId="618841D1" w:rsidR="00440478" w:rsidRDefault="00440478" w:rsidP="00C31636">
            <w:pPr>
              <w:pStyle w:val="TableRow"/>
              <w:ind w:left="0" w:right="0"/>
              <w:rPr>
                <w:sz w:val="22"/>
                <w:szCs w:val="22"/>
              </w:rPr>
            </w:pPr>
            <w:r>
              <w:t>Improvement in mental health</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775CDDF" w14:textId="77777777" w:rsidR="00CA2561" w:rsidRDefault="00440478" w:rsidP="00C31636">
            <w:pPr>
              <w:pStyle w:val="TableRowCentered"/>
              <w:ind w:left="0" w:right="0"/>
              <w:jc w:val="left"/>
            </w:pPr>
            <w:r>
              <w:t>To offer a wide range of pastoral provision focusing on pupils’ self-esteem, social and emotional skills and self-regulation strategies for behaviour m</w:t>
            </w:r>
            <w:r w:rsidR="00CA2561">
              <w:t xml:space="preserve">anagement. Provision includes: </w:t>
            </w:r>
            <w:r>
              <w:t xml:space="preserve"> Nurture Group</w:t>
            </w:r>
            <w:r w:rsidR="00CA2561">
              <w:t>,</w:t>
            </w:r>
            <w:r>
              <w:t xml:space="preserve"> Social stories</w:t>
            </w:r>
            <w:r w:rsidR="00CA2561">
              <w:t>,</w:t>
            </w:r>
            <w:r>
              <w:t xml:space="preserve"> Lego therapy</w:t>
            </w:r>
            <w:r w:rsidR="00CA2561">
              <w:t xml:space="preserve">, Positive Play, </w:t>
            </w:r>
            <w:r>
              <w:t>TA interventions</w:t>
            </w:r>
            <w:r w:rsidR="00CA2561">
              <w:t>,</w:t>
            </w:r>
            <w:r>
              <w:t xml:space="preserve"> Seesaw</w:t>
            </w:r>
            <w:r w:rsidR="00CA2561">
              <w:t>,</w:t>
            </w:r>
            <w:r>
              <w:t xml:space="preserve"> Star Learners Code</w:t>
            </w:r>
            <w:r w:rsidR="00CA2561">
              <w:t>,</w:t>
            </w:r>
            <w:r>
              <w:t xml:space="preserve"> ELSA</w:t>
            </w:r>
            <w:r w:rsidR="00CA2561">
              <w:t>,</w:t>
            </w:r>
            <w:r>
              <w:t xml:space="preserve"> Family Support Worker sessions</w:t>
            </w:r>
            <w:r w:rsidR="00CA2561">
              <w:t>,</w:t>
            </w:r>
            <w:r>
              <w:t xml:space="preserve"> Peer mentoring programme</w:t>
            </w:r>
            <w:r w:rsidR="00CA2561">
              <w:t>, r</w:t>
            </w:r>
            <w:r>
              <w:t xml:space="preserve">egular pastoral ‘catch-up’ meetings with Head, Family Support worker, Nurture/ELSA TA and safeguarding lead. </w:t>
            </w:r>
          </w:p>
          <w:p w14:paraId="1C80958D" w14:textId="54060EE2" w:rsidR="00440478" w:rsidRDefault="00440478" w:rsidP="00C31636">
            <w:pPr>
              <w:pStyle w:val="TableRowCentered"/>
              <w:ind w:left="0" w:right="0"/>
              <w:jc w:val="left"/>
              <w:rPr>
                <w:sz w:val="22"/>
                <w:szCs w:val="22"/>
              </w:rPr>
            </w:pPr>
            <w:r>
              <w:t>Measure: Impact of pastoral interventions is evaluated termly though completion of an ELSA assessment and discussion with the teacher and provision is adjusted as appropriate. Case studies/SWOT analysis of pupil premium children who are falling behind. Pupil voice identifies mental health issues in school</w:t>
            </w:r>
          </w:p>
        </w:tc>
      </w:tr>
      <w:tr w:rsidR="00440478" w14:paraId="31AA2F37"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7A3CA22" w14:textId="3A72846E" w:rsidR="00440478" w:rsidRDefault="00440478" w:rsidP="00440478">
            <w:pPr>
              <w:pStyle w:val="TableRow"/>
              <w:ind w:left="0" w:right="0"/>
            </w:pPr>
            <w:r w:rsidRPr="00AD49BB">
              <w:t>Increase in numbers of children at age expected or greater depth in writing</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6D348A" w14:textId="77777777" w:rsidR="00CA2561" w:rsidRDefault="00440478" w:rsidP="00440478">
            <w:pPr>
              <w:pStyle w:val="TableRowCentered"/>
              <w:ind w:left="0" w:right="0"/>
              <w:jc w:val="left"/>
            </w:pPr>
            <w:r>
              <w:t xml:space="preserve">‘Credible Plans’ and pupil progress meetings will be used to identify children who are under attaining. Children who are falling behind their peers will be identified, barriers addressed and clear processes put in place to ensure that all children are given the support needed to make at least expected progress. This </w:t>
            </w:r>
            <w:r>
              <w:lastRenderedPageBreak/>
              <w:t>wil</w:t>
            </w:r>
            <w:r w:rsidR="00CA2561">
              <w:t>l include: TLA support in class, s</w:t>
            </w:r>
            <w:r>
              <w:t xml:space="preserve">mall group support in writing lessons </w:t>
            </w:r>
          </w:p>
          <w:p w14:paraId="618E784E" w14:textId="2AB9AB85" w:rsidR="00440478" w:rsidRDefault="00440478" w:rsidP="00440478">
            <w:pPr>
              <w:pStyle w:val="TableRowCentered"/>
              <w:ind w:left="0" w:right="0"/>
              <w:jc w:val="left"/>
            </w:pPr>
            <w:r>
              <w:t xml:space="preserve">Measures: Outcomes will reflect an increased % </w:t>
            </w:r>
            <w:r w:rsidR="00CA2561">
              <w:t xml:space="preserve">of pupils reaching at least EXS. </w:t>
            </w:r>
            <w:r>
              <w:t>Termly data collection and analysis</w:t>
            </w:r>
          </w:p>
        </w:tc>
      </w:tr>
      <w:tr w:rsidR="00440478" w14:paraId="75FE8600"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775AB4" w14:textId="427CC6C2" w:rsidR="00440478" w:rsidRPr="00AD49BB" w:rsidRDefault="00440478" w:rsidP="00440478">
            <w:pPr>
              <w:pStyle w:val="TableRow"/>
              <w:ind w:left="0" w:right="0"/>
            </w:pPr>
            <w:r>
              <w:lastRenderedPageBreak/>
              <w:t>Provide rich and varied experiences both in and out of school</w:t>
            </w: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B22E67" w14:textId="77777777" w:rsidR="00CA2561" w:rsidRDefault="00440478" w:rsidP="00440478">
            <w:pPr>
              <w:pStyle w:val="TableRowCentered"/>
              <w:ind w:left="0" w:right="0"/>
              <w:jc w:val="left"/>
            </w:pPr>
            <w:r>
              <w:t>Provide a variety of after-school clubs, subsidised if necessary Visits related to topics organised</w:t>
            </w:r>
            <w:r w:rsidR="00CA2561">
              <w:t xml:space="preserve"> and v</w:t>
            </w:r>
            <w:r>
              <w:t>isitors to school encouraged</w:t>
            </w:r>
            <w:r w:rsidR="00CA2561">
              <w:t>.</w:t>
            </w:r>
            <w:r>
              <w:t xml:space="preserve"> Topic planning will incorporate experiences linked to school drivers and values. </w:t>
            </w:r>
          </w:p>
          <w:p w14:paraId="01DF7E57" w14:textId="4F299EF4" w:rsidR="00440478" w:rsidRDefault="00440478" w:rsidP="00440478">
            <w:pPr>
              <w:pStyle w:val="TableRowCentered"/>
              <w:ind w:left="0" w:right="0"/>
              <w:jc w:val="left"/>
            </w:pPr>
            <w:r>
              <w:t>Measure: Pupils will experienc</w:t>
            </w:r>
            <w:r w:rsidR="00CA2561">
              <w:t>e a range of extra-</w:t>
            </w:r>
            <w:r>
              <w:t>cu</w:t>
            </w:r>
            <w:r w:rsidR="00CA2561">
              <w:t xml:space="preserve">rricular activities and trips. </w:t>
            </w:r>
            <w:r>
              <w:t xml:space="preserve"> Visitors to school will be from a variety of backgrounds to promote diversity.</w:t>
            </w:r>
          </w:p>
        </w:tc>
      </w:tr>
    </w:tbl>
    <w:p w14:paraId="60BAD9F6" w14:textId="77777777" w:rsidR="00120AB1" w:rsidRDefault="00120AB1" w:rsidP="00ED5108"/>
    <w:p w14:paraId="2A06959E" w14:textId="2218981A" w:rsidR="00120AB1" w:rsidRDefault="00120AB1" w:rsidP="00BD4B12"/>
    <w:p w14:paraId="2A7D5512" w14:textId="7B489199" w:rsidR="00E66558" w:rsidRDefault="009D71E8">
      <w:pPr>
        <w:pStyle w:val="Heading2"/>
      </w:pPr>
      <w:r>
        <w:t>Activity in this academic year</w:t>
      </w:r>
    </w:p>
    <w:p w14:paraId="2A7D5513" w14:textId="20453EFC" w:rsidR="00E66558" w:rsidRDefault="009D71E8">
      <w:pPr>
        <w:spacing w:after="480"/>
      </w:pPr>
      <w:r>
        <w:t xml:space="preserve">This details how we intend to spend our pupil </w:t>
      </w:r>
      <w:r w:rsidRPr="00FD406D">
        <w:t>premium funding</w:t>
      </w:r>
      <w:r>
        <w:t xml:space="preserve"> </w:t>
      </w:r>
      <w:r>
        <w:rPr>
          <w:b/>
          <w:bCs/>
        </w:rPr>
        <w:t>this academic year</w:t>
      </w:r>
      <w:r>
        <w:t xml:space="preserve"> to address the challenges listed above.</w:t>
      </w:r>
    </w:p>
    <w:p w14:paraId="2A7D5514" w14:textId="77777777" w:rsidR="00E66558" w:rsidRDefault="009D71E8">
      <w:pPr>
        <w:pStyle w:val="Heading3"/>
      </w:pPr>
      <w:r>
        <w:t>Teaching (for example, CPD, recruitment and retention)</w:t>
      </w:r>
    </w:p>
    <w:p w14:paraId="2A7D5515" w14:textId="77777777" w:rsidR="00E66558" w:rsidRDefault="009D71E8">
      <w:r>
        <w:t>Budgeted cost</w:t>
      </w:r>
      <w:r w:rsidRPr="00A02C2D">
        <w:rPr>
          <w:highlight w:val="yellow"/>
        </w:rPr>
        <w:t xml:space="preserve">: £ </w:t>
      </w:r>
      <w:r w:rsidRPr="00A02C2D">
        <w:rPr>
          <w:i/>
          <w:iCs/>
          <w:highlight w:val="yellow"/>
        </w:rPr>
        <w:t>[insert amount]</w:t>
      </w:r>
    </w:p>
    <w:tbl>
      <w:tblPr>
        <w:tblW w:w="5000" w:type="pct"/>
        <w:tblLayout w:type="fixed"/>
        <w:tblCellMar>
          <w:left w:w="10" w:type="dxa"/>
          <w:right w:w="10" w:type="dxa"/>
        </w:tblCellMar>
        <w:tblLook w:val="04A0" w:firstRow="1" w:lastRow="0" w:firstColumn="1" w:lastColumn="0" w:noHBand="0" w:noVBand="1"/>
      </w:tblPr>
      <w:tblGrid>
        <w:gridCol w:w="1980"/>
        <w:gridCol w:w="6095"/>
        <w:gridCol w:w="1411"/>
      </w:tblGrid>
      <w:tr w:rsidR="00E66558" w14:paraId="2A7D5519" w14:textId="77777777" w:rsidTr="00440478">
        <w:tc>
          <w:tcPr>
            <w:tcW w:w="1980"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6" w14:textId="77777777" w:rsidR="00E66558" w:rsidRDefault="009D71E8" w:rsidP="00C31636">
            <w:pPr>
              <w:pStyle w:val="TableHeader"/>
              <w:ind w:left="0" w:right="0"/>
              <w:jc w:val="left"/>
            </w:pPr>
            <w:r>
              <w:t>Activity</w:t>
            </w:r>
          </w:p>
        </w:tc>
        <w:tc>
          <w:tcPr>
            <w:tcW w:w="609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7" w14:textId="77777777" w:rsidR="00E66558" w:rsidRDefault="009D71E8" w:rsidP="00C31636">
            <w:pPr>
              <w:pStyle w:val="TableHeader"/>
              <w:ind w:left="0" w:right="0"/>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18" w14:textId="77777777" w:rsidR="00E66558" w:rsidRPr="00440478" w:rsidRDefault="009D71E8" w:rsidP="00C31636">
            <w:pPr>
              <w:pStyle w:val="TableHeader"/>
              <w:ind w:left="0" w:right="0"/>
              <w:jc w:val="left"/>
              <w:rPr>
                <w:sz w:val="20"/>
                <w:szCs w:val="20"/>
              </w:rPr>
            </w:pPr>
            <w:r w:rsidRPr="00440478">
              <w:rPr>
                <w:sz w:val="20"/>
                <w:szCs w:val="20"/>
              </w:rPr>
              <w:t>Challenge number(s) addressed</w:t>
            </w:r>
          </w:p>
        </w:tc>
      </w:tr>
      <w:tr w:rsidR="00E66558" w14:paraId="2A7D551D" w14:textId="77777777" w:rsidTr="004404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A" w14:textId="17BE36D3" w:rsidR="00E66558" w:rsidRDefault="00440478" w:rsidP="00694280">
            <w:pPr>
              <w:pStyle w:val="TableRow"/>
              <w:ind w:left="0" w:right="0"/>
            </w:pPr>
            <w:r>
              <w:t xml:space="preserve">Staffing </w:t>
            </w:r>
            <w:r w:rsidR="00694280">
              <w:t>– employment of an HLTA</w:t>
            </w:r>
            <w:r>
              <w:t xml:space="preserve"> to allow Maths to </w:t>
            </w:r>
            <w:r w:rsidR="00694280">
              <w:t>be taught in single year groups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32D005" w14:textId="77777777" w:rsidR="00694280" w:rsidRDefault="00440478" w:rsidP="00694280">
            <w:pPr>
              <w:pStyle w:val="TableRowCentered"/>
              <w:ind w:left="0" w:right="0"/>
              <w:jc w:val="left"/>
            </w:pPr>
            <w:r>
              <w:t xml:space="preserve">Smaller, single-aged groups of children accessing age appropriate objectives allows teachers to identify gaps and support children, particularly those who have fallen behind due to lockdown </w:t>
            </w:r>
          </w:p>
          <w:p w14:paraId="63F60D21" w14:textId="77777777" w:rsidR="00694280" w:rsidRDefault="00694280" w:rsidP="00694280">
            <w:pPr>
              <w:pStyle w:val="TableRowCentered"/>
              <w:ind w:left="0" w:right="0"/>
              <w:jc w:val="left"/>
            </w:pPr>
          </w:p>
          <w:p w14:paraId="43D8BBEA" w14:textId="4D1D0DCE" w:rsidR="00694280" w:rsidRDefault="002E1A2B" w:rsidP="00694280">
            <w:pPr>
              <w:pStyle w:val="TableRowCentered"/>
              <w:ind w:left="0" w:right="0"/>
              <w:jc w:val="left"/>
              <w:rPr>
                <w:sz w:val="22"/>
              </w:rPr>
            </w:pPr>
            <w:hyperlink r:id="rId8" w:anchor=":~:text=Reducing%20class%20size%20is%20an,pupils%20per%20teacher%20becomes%20smaller" w:history="1">
              <w:r w:rsidR="00694280" w:rsidRPr="007E6EB6">
                <w:rPr>
                  <w:rStyle w:val="Hyperlink"/>
                  <w:sz w:val="22"/>
                </w:rPr>
                <w:t>https://educationendowmentfoundation.org.uk/education-evidence/teaching-learning-toolkit/reducing-class-size#:~:text=Reducing%20class%20size%20is%20an,pupils%20per%20teacher%20becomes%20smaller</w:t>
              </w:r>
            </w:hyperlink>
            <w:r w:rsidR="00694280" w:rsidRPr="00694280">
              <w:rPr>
                <w:sz w:val="22"/>
              </w:rPr>
              <w:t>.</w:t>
            </w:r>
          </w:p>
          <w:p w14:paraId="2A7D551B" w14:textId="5C3DA466" w:rsidR="00694280" w:rsidRDefault="00694280" w:rsidP="00694280">
            <w:pPr>
              <w:pStyle w:val="TableRowCentered"/>
              <w:ind w:left="0" w:right="0"/>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C" w14:textId="69A6BFCE" w:rsidR="00E66558" w:rsidRDefault="00440478" w:rsidP="00440478">
            <w:pPr>
              <w:pStyle w:val="TableRowCentered"/>
              <w:ind w:left="0" w:right="0" w:firstLine="117"/>
              <w:jc w:val="left"/>
              <w:rPr>
                <w:sz w:val="22"/>
              </w:rPr>
            </w:pPr>
            <w:r>
              <w:rPr>
                <w:sz w:val="22"/>
              </w:rPr>
              <w:t>1,3</w:t>
            </w:r>
          </w:p>
        </w:tc>
      </w:tr>
      <w:tr w:rsidR="00E66558" w14:paraId="2A7D5521" w14:textId="77777777" w:rsidTr="004404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1E" w14:textId="76CB058B" w:rsidR="00E66558" w:rsidRDefault="00EF0C05" w:rsidP="00C31636">
            <w:pPr>
              <w:pStyle w:val="TableRow"/>
              <w:ind w:left="0" w:right="0"/>
              <w:rPr>
                <w:i/>
                <w:sz w:val="22"/>
              </w:rPr>
            </w:pPr>
            <w:r>
              <w:t>CPD - Mastery Maths course for Y3 teachers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1F38EB" w14:textId="77777777" w:rsidR="00E66558" w:rsidRDefault="00EF0C05" w:rsidP="00694280">
            <w:pPr>
              <w:pStyle w:val="TableRowCentered"/>
              <w:ind w:left="0" w:right="0"/>
              <w:jc w:val="left"/>
            </w:pPr>
            <w:r>
              <w:t xml:space="preserve">A mastery curriculum </w:t>
            </w:r>
            <w:r w:rsidR="00694280">
              <w:t>is supported by extensive inter</w:t>
            </w:r>
            <w:r>
              <w:t>national evidence and endorsed by the Department for Education (</w:t>
            </w:r>
            <w:proofErr w:type="spellStart"/>
            <w:r>
              <w:t>DfE</w:t>
            </w:r>
            <w:proofErr w:type="spellEnd"/>
            <w:r>
              <w:t>), OF</w:t>
            </w:r>
            <w:r w:rsidR="00694280">
              <w:t>STED and National Centre for Ex</w:t>
            </w:r>
            <w:r>
              <w:t xml:space="preserve">cellence in the Teaching of Mathematics (NCETM). </w:t>
            </w:r>
          </w:p>
          <w:p w14:paraId="54B8D231" w14:textId="0EAF84F3" w:rsidR="00694280" w:rsidRDefault="002E1A2B" w:rsidP="00694280">
            <w:pPr>
              <w:pStyle w:val="TableRowCentered"/>
              <w:ind w:left="0" w:right="0"/>
              <w:jc w:val="left"/>
              <w:rPr>
                <w:sz w:val="22"/>
              </w:rPr>
            </w:pPr>
            <w:hyperlink r:id="rId9" w:anchor=":~:text=Mastery%20learning%20works%20through%20designing,on%20to%20the%20next%20task" w:history="1">
              <w:r w:rsidR="00694280" w:rsidRPr="007E6EB6">
                <w:rPr>
                  <w:rStyle w:val="Hyperlink"/>
                  <w:sz w:val="22"/>
                </w:rPr>
                <w:t>https://educationendowmentfoundation.org.uk/education-evidence/teaching-learning-toolkit/mastery-</w:t>
              </w:r>
              <w:r w:rsidR="00694280" w:rsidRPr="007E6EB6">
                <w:rPr>
                  <w:rStyle w:val="Hyperlink"/>
                  <w:sz w:val="22"/>
                </w:rPr>
                <w:lastRenderedPageBreak/>
                <w:t>learning#:~:text=Mastery%20learning%20works%20through%20designing,on%20to%20the%20next%20task</w:t>
              </w:r>
            </w:hyperlink>
            <w:r w:rsidR="00694280" w:rsidRPr="00694280">
              <w:rPr>
                <w:sz w:val="22"/>
              </w:rPr>
              <w:t>.</w:t>
            </w:r>
          </w:p>
          <w:p w14:paraId="2A7D551F" w14:textId="31C8A0E4" w:rsidR="00694280" w:rsidRDefault="00694280" w:rsidP="00694280">
            <w:pPr>
              <w:pStyle w:val="TableRowCentered"/>
              <w:ind w:left="0" w:right="0"/>
              <w:jc w:val="left"/>
              <w:rPr>
                <w:sz w:val="22"/>
              </w:rPr>
            </w:pPr>
            <w:r>
              <w:t>shows a score of +5 for mastery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0" w14:textId="04003501" w:rsidR="00E66558" w:rsidRDefault="00EF0C05" w:rsidP="00C31636">
            <w:pPr>
              <w:pStyle w:val="TableRowCentered"/>
              <w:ind w:left="0" w:right="0"/>
              <w:jc w:val="left"/>
              <w:rPr>
                <w:sz w:val="22"/>
              </w:rPr>
            </w:pPr>
            <w:r>
              <w:rPr>
                <w:sz w:val="22"/>
              </w:rPr>
              <w:lastRenderedPageBreak/>
              <w:t>1,3</w:t>
            </w:r>
          </w:p>
        </w:tc>
      </w:tr>
      <w:tr w:rsidR="007E1F6A" w14:paraId="7E016B64" w14:textId="77777777" w:rsidTr="004404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9105A9" w14:textId="7B5738FB" w:rsidR="007E1F6A" w:rsidRDefault="007E1F6A" w:rsidP="007E1F6A">
            <w:pPr>
              <w:pStyle w:val="TableRow"/>
              <w:ind w:left="0" w:right="0"/>
            </w:pPr>
            <w:r w:rsidRPr="009260C1">
              <w:lastRenderedPageBreak/>
              <w:t>CPD – Phonics training and support for TLAs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E42123" w14:textId="490CCA9C" w:rsidR="00203B3A" w:rsidRDefault="007E1F6A" w:rsidP="007E1F6A">
            <w:pPr>
              <w:pStyle w:val="TableRowCentered"/>
              <w:ind w:left="0" w:right="0"/>
              <w:jc w:val="left"/>
            </w:pPr>
            <w:r>
              <w:t xml:space="preserve">Phonics approaches have a strong evidence base that indicates a positive impact on the accuracy of word reading particularly for disadvantaged pupils, which then impacts on their achievement in writing. </w:t>
            </w:r>
            <w:hyperlink r:id="rId10" w:history="1">
              <w:r w:rsidR="00203B3A" w:rsidRPr="007E6EB6">
                <w:rPr>
                  <w:rStyle w:val="Hyperlink"/>
                </w:rPr>
                <w:t>https://educationendowmentfoundation.org.uk/education-evidence/teaching-learning-toolkit</w:t>
              </w:r>
            </w:hyperlink>
          </w:p>
          <w:p w14:paraId="12932247" w14:textId="4809C2D9" w:rsidR="007E1F6A" w:rsidRDefault="007E1F6A" w:rsidP="007E1F6A">
            <w:pPr>
              <w:pStyle w:val="TableRowCentered"/>
              <w:ind w:left="0" w:right="0"/>
              <w:jc w:val="left"/>
            </w:pPr>
            <w:r>
              <w:t xml:space="preserve"> shows a score of +5 for phonics interventions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96B744" w14:textId="52F05AF2" w:rsidR="007E1F6A" w:rsidRDefault="007E1F6A" w:rsidP="007E1F6A">
            <w:pPr>
              <w:pStyle w:val="TableRowCentered"/>
              <w:ind w:left="0" w:right="0"/>
              <w:jc w:val="left"/>
              <w:rPr>
                <w:sz w:val="22"/>
              </w:rPr>
            </w:pPr>
            <w:r>
              <w:rPr>
                <w:sz w:val="22"/>
              </w:rPr>
              <w:t>1,2,3,6</w:t>
            </w:r>
          </w:p>
        </w:tc>
      </w:tr>
      <w:tr w:rsidR="00E352F2" w14:paraId="0DD02FDB" w14:textId="77777777" w:rsidTr="004404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1738E2" w14:textId="27077253" w:rsidR="00E352F2" w:rsidRPr="009260C1" w:rsidRDefault="00E352F2" w:rsidP="007E1F6A">
            <w:pPr>
              <w:pStyle w:val="TableRow"/>
              <w:ind w:left="0" w:right="0"/>
            </w:pPr>
            <w:r>
              <w:t xml:space="preserve">Gains in teaching and learning through whole school CPD linked to </w:t>
            </w:r>
            <w:proofErr w:type="spellStart"/>
            <w:r>
              <w:t>Walkthru’s</w:t>
            </w:r>
            <w:proofErr w:type="spellEnd"/>
            <w:r>
              <w:t>: teachers and TAs</w:t>
            </w: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6382E2" w14:textId="77777777" w:rsidR="00E352F2" w:rsidRDefault="00E352F2" w:rsidP="007E1F6A">
            <w:pPr>
              <w:pStyle w:val="TableRowCentered"/>
              <w:ind w:left="0" w:right="0"/>
              <w:jc w:val="left"/>
            </w:pPr>
            <w:proofErr w:type="spellStart"/>
            <w:r>
              <w:t>WalkThrus</w:t>
            </w:r>
            <w:proofErr w:type="spellEnd"/>
            <w:r>
              <w:t xml:space="preserve"> is a selection of 150 evidence based teaching strategies rooted in a deep understanding of how learning works. Each </w:t>
            </w:r>
            <w:proofErr w:type="spellStart"/>
            <w:r>
              <w:t>WalkThru</w:t>
            </w:r>
            <w:proofErr w:type="spellEnd"/>
            <w:r>
              <w:t xml:space="preserve"> breaks teaching techniques down into five clear steps.</w:t>
            </w:r>
          </w:p>
          <w:p w14:paraId="316A8CCD" w14:textId="77777777" w:rsidR="00075F3A" w:rsidRDefault="00075F3A" w:rsidP="007E1F6A">
            <w:pPr>
              <w:pStyle w:val="TableRowCentered"/>
              <w:ind w:left="0" w:right="0"/>
              <w:jc w:val="left"/>
            </w:pPr>
          </w:p>
          <w:p w14:paraId="63EE0287" w14:textId="162E10A6" w:rsidR="00075F3A" w:rsidRDefault="002E1A2B" w:rsidP="007E1F6A">
            <w:pPr>
              <w:pStyle w:val="TableRowCentered"/>
              <w:ind w:left="0" w:right="0"/>
              <w:jc w:val="left"/>
            </w:pPr>
            <w:hyperlink r:id="rId11" w:history="1">
              <w:r w:rsidR="00075F3A" w:rsidRPr="007E6EB6">
                <w:rPr>
                  <w:rStyle w:val="Hyperlink"/>
                </w:rPr>
                <w:t>https://walkthrus.co.uk/how-does-it-work</w:t>
              </w:r>
            </w:hyperlink>
            <w:r w:rsidR="00075F3A">
              <w:t xml:space="preserve">  explains the evidence behind the </w:t>
            </w:r>
            <w:proofErr w:type="spellStart"/>
            <w:r w:rsidR="00075F3A">
              <w:t>Walkthrus</w:t>
            </w:r>
            <w:proofErr w:type="spellEnd"/>
            <w:r w:rsidR="00075F3A">
              <w:t xml:space="preserve"> teaching techniques</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CE3E4E0" w14:textId="7221340A" w:rsidR="00E352F2" w:rsidRDefault="00E352F2" w:rsidP="007E1F6A">
            <w:pPr>
              <w:pStyle w:val="TableRowCentered"/>
              <w:ind w:left="0" w:right="0"/>
              <w:jc w:val="left"/>
              <w:rPr>
                <w:sz w:val="22"/>
              </w:rPr>
            </w:pPr>
            <w:r>
              <w:rPr>
                <w:sz w:val="22"/>
              </w:rPr>
              <w:t>1,3,</w:t>
            </w:r>
            <w:r w:rsidR="00A02C2D">
              <w:rPr>
                <w:sz w:val="22"/>
              </w:rPr>
              <w:t>4,</w:t>
            </w:r>
            <w:r>
              <w:rPr>
                <w:sz w:val="22"/>
              </w:rPr>
              <w:t>6,7</w:t>
            </w:r>
          </w:p>
        </w:tc>
      </w:tr>
      <w:tr w:rsidR="00E352F2" w14:paraId="1659B60B" w14:textId="77777777" w:rsidTr="00440478">
        <w:tc>
          <w:tcPr>
            <w:tcW w:w="19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045996" w14:textId="77777777" w:rsidR="00E352F2" w:rsidRPr="009260C1" w:rsidRDefault="00E352F2" w:rsidP="007E1F6A">
            <w:pPr>
              <w:pStyle w:val="TableRow"/>
              <w:ind w:left="0" w:right="0"/>
            </w:pPr>
          </w:p>
        </w:tc>
        <w:tc>
          <w:tcPr>
            <w:tcW w:w="60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D95DA" w14:textId="77777777" w:rsidR="00E352F2" w:rsidRDefault="00E352F2" w:rsidP="007E1F6A">
            <w:pPr>
              <w:pStyle w:val="TableRowCentered"/>
              <w:ind w:left="0" w:right="0"/>
              <w:jc w:val="left"/>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59A952E" w14:textId="77777777" w:rsidR="00E352F2" w:rsidRDefault="00E352F2" w:rsidP="007E1F6A">
            <w:pPr>
              <w:pStyle w:val="TableRowCentered"/>
              <w:ind w:left="0" w:right="0"/>
              <w:jc w:val="left"/>
              <w:rPr>
                <w:sz w:val="22"/>
              </w:rPr>
            </w:pPr>
          </w:p>
        </w:tc>
      </w:tr>
    </w:tbl>
    <w:p w14:paraId="2A7D5522" w14:textId="77777777" w:rsidR="00E66558" w:rsidRDefault="00E66558" w:rsidP="00ED5108"/>
    <w:p w14:paraId="2A7D5523" w14:textId="5B2BE35F" w:rsidR="00E66558" w:rsidRPr="00AA355B" w:rsidRDefault="009D71E8" w:rsidP="00AA355B">
      <w:pPr>
        <w:pStyle w:val="Heading3"/>
      </w:pPr>
      <w:r>
        <w:t xml:space="preserve">Targeted academic support (for example, </w:t>
      </w:r>
      <w:r w:rsidR="00D33FE5">
        <w:t>tutoring, one-to-one support</w:t>
      </w:r>
      <w:r w:rsidR="00F776E1">
        <w:t>,</w:t>
      </w:r>
      <w:r w:rsidR="00D33FE5">
        <w:t xml:space="preserve"> </w:t>
      </w:r>
      <w:r>
        <w:t xml:space="preserve">structured interventions) </w:t>
      </w:r>
    </w:p>
    <w:p w14:paraId="2A7D5524" w14:textId="77777777" w:rsidR="00E66558" w:rsidRDefault="009D71E8">
      <w:r>
        <w:t xml:space="preserve">Budgeted cost: £ </w:t>
      </w:r>
      <w:r w:rsidRPr="00A02C2D">
        <w:rPr>
          <w:i/>
          <w:iCs/>
          <w:highlight w:val="yellow"/>
        </w:rPr>
        <w:t>[insert amount]</w:t>
      </w:r>
    </w:p>
    <w:tbl>
      <w:tblPr>
        <w:tblW w:w="5227" w:type="pct"/>
        <w:tblInd w:w="-431" w:type="dxa"/>
        <w:tblCellMar>
          <w:left w:w="10" w:type="dxa"/>
          <w:right w:w="10" w:type="dxa"/>
        </w:tblCellMar>
        <w:tblLook w:val="04A0" w:firstRow="1" w:lastRow="0" w:firstColumn="1" w:lastColumn="0" w:noHBand="0" w:noVBand="1"/>
      </w:tblPr>
      <w:tblGrid>
        <w:gridCol w:w="1911"/>
        <w:gridCol w:w="6589"/>
        <w:gridCol w:w="1417"/>
      </w:tblGrid>
      <w:tr w:rsidR="00203B3A" w14:paraId="2A7D5528" w14:textId="77777777" w:rsidTr="00203B3A">
        <w:tc>
          <w:tcPr>
            <w:tcW w:w="163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5" w14:textId="77777777" w:rsidR="00E66558" w:rsidRDefault="009D71E8" w:rsidP="00C31636">
            <w:pPr>
              <w:pStyle w:val="TableHeader"/>
              <w:ind w:left="0" w:right="0"/>
              <w:jc w:val="left"/>
            </w:pPr>
            <w:r>
              <w:t>Activity</w:t>
            </w:r>
          </w:p>
        </w:tc>
        <w:tc>
          <w:tcPr>
            <w:tcW w:w="687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6" w14:textId="77777777" w:rsidR="00E66558" w:rsidRDefault="009D71E8" w:rsidP="00C31636">
            <w:pPr>
              <w:pStyle w:val="TableHeader"/>
              <w:ind w:left="0" w:right="0"/>
              <w:jc w:val="left"/>
            </w:pPr>
            <w:r>
              <w:t>Evidence that supports this approach</w:t>
            </w:r>
          </w:p>
        </w:tc>
        <w:tc>
          <w:tcPr>
            <w:tcW w:w="141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27" w14:textId="77777777" w:rsidR="00E66558" w:rsidRDefault="009D71E8" w:rsidP="00C31636">
            <w:pPr>
              <w:pStyle w:val="TableHeader"/>
              <w:ind w:left="0" w:right="0"/>
              <w:jc w:val="left"/>
            </w:pPr>
            <w:r>
              <w:t>Challenge number(s) addressed</w:t>
            </w:r>
          </w:p>
        </w:tc>
      </w:tr>
      <w:tr w:rsidR="00203B3A" w14:paraId="2A7D552C" w14:textId="77777777" w:rsidTr="00203B3A">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9" w14:textId="7B608954" w:rsidR="00E66558" w:rsidRDefault="00A02C2D" w:rsidP="00C31636">
            <w:pPr>
              <w:pStyle w:val="TableRow"/>
              <w:ind w:left="0" w:right="0"/>
            </w:pPr>
            <w:r>
              <w:t>Extra TLA hours – to support children in class who are underachieving</w:t>
            </w:r>
          </w:p>
        </w:tc>
        <w:tc>
          <w:tcPr>
            <w:tcW w:w="6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655D0A" w14:textId="638E24C3" w:rsidR="00E66558" w:rsidRDefault="00A02C2D" w:rsidP="00C31636">
            <w:pPr>
              <w:pStyle w:val="TableRowCentered"/>
              <w:ind w:left="0" w:right="0"/>
              <w:jc w:val="left"/>
            </w:pPr>
            <w:r>
              <w:t xml:space="preserve">Evidence suggests that TAs can have a positive impact on academic achievement, ensuring that specific children can access the learning though support and scaffolding. </w:t>
            </w:r>
            <w:hyperlink r:id="rId12" w:history="1">
              <w:r w:rsidR="00203B3A" w:rsidRPr="007E6EB6">
                <w:rPr>
                  <w:rStyle w:val="Hyperlink"/>
                </w:rPr>
                <w:t>https://educationendowmentfoundation.org.uk/education-evidence/teaching-learning-toolkit/small-group-tuition</w:t>
              </w:r>
            </w:hyperlink>
          </w:p>
          <w:p w14:paraId="756953D5" w14:textId="77777777" w:rsidR="00203B3A" w:rsidRDefault="00CE6896" w:rsidP="00C31636">
            <w:pPr>
              <w:pStyle w:val="TableRowCentered"/>
              <w:ind w:left="0" w:right="0"/>
              <w:jc w:val="left"/>
            </w:pPr>
            <w:r>
              <w:t>shows a sco</w:t>
            </w:r>
            <w:r w:rsidR="00A82D75">
              <w:t>re of +4 for small group tuiti</w:t>
            </w:r>
            <w:r w:rsidR="00163C7B">
              <w:t>on</w:t>
            </w:r>
          </w:p>
          <w:p w14:paraId="2A7D552A" w14:textId="198E27AD" w:rsidR="00163C7B" w:rsidRDefault="00163C7B" w:rsidP="00075F3A">
            <w:pPr>
              <w:pStyle w:val="TableRowCentered"/>
              <w:ind w:left="0" w:right="0"/>
              <w:jc w:val="left"/>
              <w:rPr>
                <w:sz w:val="22"/>
              </w:rPr>
            </w:pP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B" w14:textId="5757015D" w:rsidR="00E66558" w:rsidRDefault="0060475B" w:rsidP="00203B3A">
            <w:pPr>
              <w:pStyle w:val="TableRowCentered"/>
              <w:ind w:left="0" w:right="0" w:hanging="60"/>
              <w:jc w:val="left"/>
              <w:rPr>
                <w:sz w:val="22"/>
              </w:rPr>
            </w:pPr>
            <w:r>
              <w:t>1, 2, 3, 4, 6</w:t>
            </w:r>
          </w:p>
        </w:tc>
      </w:tr>
      <w:tr w:rsidR="00203B3A" w14:paraId="2A7D5530" w14:textId="77777777" w:rsidTr="00203B3A">
        <w:tc>
          <w:tcPr>
            <w:tcW w:w="16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D" w14:textId="7076955C" w:rsidR="00E66558" w:rsidRDefault="00A02C2D" w:rsidP="00C31636">
            <w:pPr>
              <w:pStyle w:val="TableRow"/>
              <w:ind w:left="0" w:right="0"/>
              <w:rPr>
                <w:i/>
                <w:sz w:val="22"/>
              </w:rPr>
            </w:pPr>
            <w:r>
              <w:t>Extra TLA hours to run targeted intervention groups for children who are underachieving.</w:t>
            </w:r>
          </w:p>
        </w:tc>
        <w:tc>
          <w:tcPr>
            <w:tcW w:w="68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713FE0" w14:textId="27C490B5" w:rsidR="00203B3A" w:rsidRDefault="00A02C2D" w:rsidP="00C31636">
            <w:pPr>
              <w:pStyle w:val="TableRowCentered"/>
              <w:ind w:left="0" w:right="0"/>
              <w:jc w:val="left"/>
            </w:pPr>
            <w:r>
              <w:t xml:space="preserve">Tuition targeted at specific needs and knowledge gaps is an effective method to support low attaining pupils or those falling behind, both one-to-one and in small groups. </w:t>
            </w:r>
            <w:hyperlink r:id="rId13" w:history="1">
              <w:r w:rsidR="00203B3A" w:rsidRPr="007E6EB6">
                <w:rPr>
                  <w:rStyle w:val="Hyperlink"/>
                </w:rPr>
                <w:t>https://educationendowmentfoundation.org.uk/education-evidence/teaching-learning-toolkit</w:t>
              </w:r>
            </w:hyperlink>
          </w:p>
          <w:p w14:paraId="10B01548" w14:textId="77777777" w:rsidR="00E66558" w:rsidRDefault="00A02C2D" w:rsidP="00C31636">
            <w:pPr>
              <w:pStyle w:val="TableRowCentered"/>
              <w:ind w:left="0" w:right="0"/>
              <w:jc w:val="left"/>
            </w:pPr>
            <w:r>
              <w:t xml:space="preserve"> shows a score of +4 for TA interventions</w:t>
            </w:r>
          </w:p>
          <w:p w14:paraId="6E354384" w14:textId="77777777" w:rsidR="00163C7B" w:rsidRDefault="00163C7B" w:rsidP="00C31636">
            <w:pPr>
              <w:pStyle w:val="TableRowCentered"/>
              <w:ind w:left="0" w:right="0"/>
              <w:jc w:val="left"/>
            </w:pPr>
          </w:p>
          <w:p w14:paraId="3C706A00" w14:textId="55948FCB" w:rsidR="00163C7B" w:rsidRDefault="002E1A2B" w:rsidP="00C31636">
            <w:pPr>
              <w:pStyle w:val="TableRowCentered"/>
              <w:ind w:left="0" w:right="0"/>
              <w:jc w:val="left"/>
            </w:pPr>
            <w:hyperlink r:id="rId14" w:history="1">
              <w:r w:rsidR="00163C7B" w:rsidRPr="007E6EB6">
                <w:rPr>
                  <w:rStyle w:val="Hyperlink"/>
                </w:rPr>
                <w:t>https://educationendowmentfoundation.org.uk/education-evidence/teaching-learning-toolkit/collaborative-learning-approaches</w:t>
              </w:r>
            </w:hyperlink>
          </w:p>
          <w:p w14:paraId="2A7D552E" w14:textId="53E94745" w:rsidR="00163C7B" w:rsidRPr="00203B3A" w:rsidRDefault="00163C7B" w:rsidP="00C31636">
            <w:pPr>
              <w:pStyle w:val="TableRowCentered"/>
              <w:ind w:left="0" w:right="0"/>
              <w:jc w:val="left"/>
            </w:pPr>
            <w:r>
              <w:t>shows a score of +5 for collaborative learning</w:t>
            </w:r>
          </w:p>
        </w:tc>
        <w:tc>
          <w:tcPr>
            <w:tcW w:w="14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2F" w14:textId="574B2E01" w:rsidR="00E66558" w:rsidRDefault="00A02C2D" w:rsidP="00C31636">
            <w:pPr>
              <w:pStyle w:val="TableRowCentered"/>
              <w:ind w:left="0" w:right="0"/>
              <w:jc w:val="left"/>
              <w:rPr>
                <w:sz w:val="22"/>
              </w:rPr>
            </w:pPr>
            <w:r>
              <w:t>1, 2, 3, 4, 6</w:t>
            </w:r>
          </w:p>
        </w:tc>
      </w:tr>
    </w:tbl>
    <w:p w14:paraId="2A7D5531" w14:textId="77777777" w:rsidR="00E66558" w:rsidRDefault="00E66558" w:rsidP="00AA355B"/>
    <w:p w14:paraId="2A7D5532" w14:textId="59A68BC3" w:rsidR="00E66558" w:rsidRPr="00AA355B" w:rsidRDefault="009D71E8" w:rsidP="00AA355B">
      <w:pPr>
        <w:pStyle w:val="Heading3"/>
      </w:pPr>
      <w:r>
        <w:t>Wider strategies (for example, related to attendance, behaviour, wellbeing)</w:t>
      </w:r>
    </w:p>
    <w:p w14:paraId="2A7D5533" w14:textId="77777777" w:rsidR="00E66558" w:rsidRDefault="009D71E8">
      <w:pPr>
        <w:spacing w:before="240" w:after="120"/>
      </w:pPr>
      <w:r>
        <w:t xml:space="preserve">Budgeted cost: £ </w:t>
      </w:r>
      <w:r w:rsidRPr="00A02C2D">
        <w:rPr>
          <w:i/>
          <w:iCs/>
          <w:highlight w:val="yellow"/>
        </w:rPr>
        <w:t>[insert amount]</w:t>
      </w:r>
    </w:p>
    <w:tbl>
      <w:tblPr>
        <w:tblW w:w="5000" w:type="pct"/>
        <w:tblCellMar>
          <w:left w:w="10" w:type="dxa"/>
          <w:right w:w="10" w:type="dxa"/>
        </w:tblCellMar>
        <w:tblLook w:val="04A0" w:firstRow="1" w:lastRow="0" w:firstColumn="1" w:lastColumn="0" w:noHBand="0" w:noVBand="1"/>
      </w:tblPr>
      <w:tblGrid>
        <w:gridCol w:w="1219"/>
        <w:gridCol w:w="7167"/>
        <w:gridCol w:w="1100"/>
      </w:tblGrid>
      <w:tr w:rsidR="00E66558" w14:paraId="2A7D5537" w14:textId="77777777" w:rsidTr="00CA4421">
        <w:tc>
          <w:tcPr>
            <w:tcW w:w="2688"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4" w14:textId="77777777" w:rsidR="00E66558" w:rsidRDefault="009D71E8" w:rsidP="00C31636">
            <w:pPr>
              <w:pStyle w:val="TableHeader"/>
              <w:ind w:left="0" w:right="0"/>
              <w:jc w:val="left"/>
            </w:pPr>
            <w:r>
              <w:t>Activity</w:t>
            </w:r>
          </w:p>
        </w:tc>
        <w:tc>
          <w:tcPr>
            <w:tcW w:w="425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5" w14:textId="77777777" w:rsidR="00E66558" w:rsidRDefault="009D71E8" w:rsidP="00C31636">
            <w:pPr>
              <w:pStyle w:val="TableHeader"/>
              <w:ind w:left="0" w:right="0"/>
              <w:jc w:val="left"/>
            </w:pPr>
            <w:r>
              <w:t>Evidence that supports this approach</w:t>
            </w:r>
          </w:p>
        </w:tc>
        <w:tc>
          <w:tcPr>
            <w:tcW w:w="2544"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36" w14:textId="77777777" w:rsidR="00E66558" w:rsidRDefault="009D71E8" w:rsidP="00C31636">
            <w:pPr>
              <w:pStyle w:val="TableHeader"/>
              <w:ind w:left="0" w:right="0"/>
              <w:jc w:val="left"/>
            </w:pPr>
            <w:r>
              <w:t>Challenge number(s) addressed</w:t>
            </w:r>
          </w:p>
        </w:tc>
      </w:tr>
      <w:tr w:rsidR="00E66558" w14:paraId="2A7D553B"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27952A" w14:textId="77777777" w:rsidR="00E66558" w:rsidRDefault="00203B3A" w:rsidP="00C31636">
            <w:pPr>
              <w:pStyle w:val="TableRow"/>
              <w:ind w:left="0" w:right="0"/>
            </w:pPr>
            <w:r>
              <w:t>School visits – cost of trips subsidised</w:t>
            </w:r>
          </w:p>
          <w:p w14:paraId="0869044D" w14:textId="77777777" w:rsidR="00A82D75" w:rsidRDefault="00A82D75" w:rsidP="00C31636">
            <w:pPr>
              <w:pStyle w:val="TableRow"/>
              <w:ind w:left="0" w:right="0"/>
            </w:pPr>
          </w:p>
          <w:p w14:paraId="2A7D5538" w14:textId="7C2BF135" w:rsidR="00A82D75" w:rsidRDefault="00A82D75" w:rsidP="00C31636">
            <w:pPr>
              <w:pStyle w:val="TableRow"/>
              <w:ind w:left="0" w:right="0"/>
            </w:pPr>
            <w:r>
              <w:t>After school clubs providing a range of arts/sports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213C38" w14:textId="77777777" w:rsidR="00203B3A" w:rsidRDefault="00203B3A" w:rsidP="00C31636">
            <w:pPr>
              <w:pStyle w:val="TableRowCentered"/>
              <w:ind w:left="0" w:right="0"/>
              <w:jc w:val="left"/>
            </w:pPr>
            <w:r>
              <w:t xml:space="preserve">Curriculums are enriched by first-hand experiences, including visits locally and further afield, contributions from adults with knowledge and skills that could enhance pupils’ learning, and an extensive range of extra-curricular activities. (Ofsted, ‘The curriculum in successful primary schools’ 553. 2002.) </w:t>
            </w:r>
          </w:p>
          <w:p w14:paraId="74F20099" w14:textId="6FBEC9CC" w:rsidR="00203B3A" w:rsidRDefault="002E1A2B" w:rsidP="00A82D75">
            <w:pPr>
              <w:pStyle w:val="TableRowCentered"/>
              <w:ind w:left="0" w:right="0"/>
              <w:jc w:val="left"/>
              <w:rPr>
                <w:sz w:val="22"/>
              </w:rPr>
            </w:pPr>
            <w:hyperlink r:id="rId15" w:history="1">
              <w:r w:rsidR="00A82D75" w:rsidRPr="007E6EB6">
                <w:rPr>
                  <w:rStyle w:val="Hyperlink"/>
                  <w:sz w:val="22"/>
                </w:rPr>
                <w:t>https://educationendowmentfoundation.org.uk/education-evidence/teaching-learning-toolkit/arts-participation</w:t>
              </w:r>
            </w:hyperlink>
          </w:p>
          <w:p w14:paraId="2A7D5539" w14:textId="14DB44F3" w:rsidR="00A82D75" w:rsidRDefault="00A82D75" w:rsidP="00A82D75">
            <w:pPr>
              <w:pStyle w:val="TableRowCentered"/>
              <w:ind w:left="0" w:right="0"/>
              <w:jc w:val="left"/>
              <w:rPr>
                <w:sz w:val="22"/>
              </w:rPr>
            </w:pPr>
            <w:r>
              <w:t>shows a score of +4 for participation</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A" w14:textId="0196FABC" w:rsidR="00E66558" w:rsidRDefault="00203B3A" w:rsidP="00C31636">
            <w:pPr>
              <w:pStyle w:val="TableRowCentered"/>
              <w:ind w:left="0" w:right="0"/>
              <w:jc w:val="left"/>
              <w:rPr>
                <w:sz w:val="22"/>
              </w:rPr>
            </w:pPr>
            <w:r>
              <w:rPr>
                <w:sz w:val="22"/>
              </w:rPr>
              <w:t>4,5,7</w:t>
            </w:r>
          </w:p>
        </w:tc>
      </w:tr>
      <w:tr w:rsidR="00E66558" w14:paraId="2A7D553F"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C" w14:textId="6B3E0593" w:rsidR="00E66558" w:rsidRDefault="00147C2E" w:rsidP="00C31636">
            <w:pPr>
              <w:pStyle w:val="TableRow"/>
              <w:ind w:left="0" w:right="0"/>
              <w:rPr>
                <w:i/>
                <w:sz w:val="22"/>
              </w:rPr>
            </w:pPr>
            <w:r>
              <w:t>Nurture group/ELSA/ pastoral drop in sessions</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9B6182" w14:textId="5DCEC619" w:rsidR="00147C2E" w:rsidRDefault="00147C2E" w:rsidP="00147C2E">
            <w:pPr>
              <w:pStyle w:val="TableRowCentered"/>
              <w:ind w:left="0" w:right="0"/>
              <w:jc w:val="left"/>
            </w:pPr>
            <w:r>
              <w:t xml:space="preserve">Nurture groups are designed to address the social and emotional needs that can hamper pupils’ learning. Nurture groups are supported and recommended by organisations, such as Ofsted, </w:t>
            </w:r>
            <w:proofErr w:type="spellStart"/>
            <w:r>
              <w:t>Estyn</w:t>
            </w:r>
            <w:proofErr w:type="spellEnd"/>
            <w:r>
              <w:t xml:space="preserve"> and HMIE. </w:t>
            </w:r>
          </w:p>
          <w:p w14:paraId="676632D9" w14:textId="2E2438A8" w:rsidR="00922BBC" w:rsidRDefault="002E1A2B" w:rsidP="00147C2E">
            <w:pPr>
              <w:pStyle w:val="TableRowCentered"/>
              <w:ind w:left="0" w:right="0"/>
              <w:jc w:val="left"/>
              <w:rPr>
                <w:szCs w:val="24"/>
              </w:rPr>
            </w:pPr>
            <w:hyperlink r:id="rId16" w:history="1">
              <w:r w:rsidR="00922BBC" w:rsidRPr="007E6EB6">
                <w:rPr>
                  <w:rStyle w:val="Hyperlink"/>
                  <w:szCs w:val="24"/>
                </w:rPr>
                <w:t>https://educationendowmentfoundation.org.uk/education-evidence/teaching-learning-toolkit/social-and-emotional-learning</w:t>
              </w:r>
            </w:hyperlink>
          </w:p>
          <w:p w14:paraId="3979C812" w14:textId="77777777" w:rsidR="00922BBC" w:rsidRDefault="00922BBC" w:rsidP="00147C2E">
            <w:pPr>
              <w:pStyle w:val="TableRowCentered"/>
              <w:ind w:left="0" w:right="0"/>
              <w:jc w:val="left"/>
              <w:rPr>
                <w:szCs w:val="24"/>
              </w:rPr>
            </w:pPr>
          </w:p>
          <w:p w14:paraId="2A7D553D" w14:textId="44E79CAA" w:rsidR="00147C2E" w:rsidRDefault="00922BBC" w:rsidP="00147C2E">
            <w:pPr>
              <w:pStyle w:val="TableRowCentered"/>
              <w:ind w:left="0" w:right="0"/>
              <w:jc w:val="left"/>
              <w:rPr>
                <w:sz w:val="22"/>
              </w:rPr>
            </w:pPr>
            <w:r>
              <w:t>shows a score of +4 for social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3E" w14:textId="51FB5F7C" w:rsidR="00E66558" w:rsidRDefault="00147C2E" w:rsidP="00C31636">
            <w:pPr>
              <w:pStyle w:val="TableRowCentered"/>
              <w:ind w:left="0" w:right="0"/>
              <w:jc w:val="left"/>
              <w:rPr>
                <w:sz w:val="22"/>
              </w:rPr>
            </w:pPr>
            <w:r>
              <w:rPr>
                <w:sz w:val="22"/>
              </w:rPr>
              <w:t>5,7</w:t>
            </w:r>
          </w:p>
        </w:tc>
      </w:tr>
      <w:tr w:rsidR="00147C2E" w14:paraId="7E20B48C"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0E554D" w14:textId="02669E86" w:rsidR="00147C2E" w:rsidRDefault="00147C2E" w:rsidP="00C31636">
            <w:pPr>
              <w:pStyle w:val="TableRow"/>
              <w:ind w:left="0" w:right="0"/>
            </w:pPr>
            <w:r>
              <w:t>Family Support worker – one day per week</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964158" w14:textId="1FC1A05C" w:rsidR="00467A20" w:rsidRDefault="00147C2E" w:rsidP="00147C2E">
            <w:pPr>
              <w:pStyle w:val="TableRowCentered"/>
              <w:ind w:left="0" w:right="0"/>
              <w:jc w:val="left"/>
              <w:rPr>
                <w:highlight w:val="yellow"/>
              </w:rPr>
            </w:pPr>
            <w:r>
              <w:t xml:space="preserve">FSW supports families in crisis to ensure that attainment is not hampered by external factors. </w:t>
            </w:r>
          </w:p>
          <w:p w14:paraId="1118A06D" w14:textId="2B16255C" w:rsidR="00467A20" w:rsidRPr="00467A20" w:rsidRDefault="00467A20" w:rsidP="00147C2E">
            <w:pPr>
              <w:pStyle w:val="TableRowCentered"/>
              <w:ind w:left="0" w:right="0"/>
              <w:jc w:val="left"/>
              <w:rPr>
                <w:sz w:val="16"/>
                <w:szCs w:val="16"/>
                <w:highlight w:val="yellow"/>
              </w:rPr>
            </w:pPr>
            <w:r w:rsidRPr="00467A20">
              <w:rPr>
                <w:sz w:val="16"/>
                <w:szCs w:val="16"/>
              </w:rPr>
              <w:t>https://assets.publishing.service.gov.uk/media/66ce094e8e33f28aae7e1f6d/Keeping_children_safe_in_education_2024_part_one.pdf</w:t>
            </w:r>
          </w:p>
          <w:p w14:paraId="64FEDCF0" w14:textId="18E0B4AD" w:rsidR="00147C2E" w:rsidRDefault="00467A20" w:rsidP="00147C2E">
            <w:pPr>
              <w:pStyle w:val="TableRowCentered"/>
              <w:ind w:left="0" w:right="0"/>
              <w:jc w:val="left"/>
            </w:pPr>
            <w:r>
              <w:t xml:space="preserve">explains </w:t>
            </w:r>
            <w:r w:rsidR="00147C2E" w:rsidRPr="00467A20">
              <w:t>the importance of ‘early help’.</w:t>
            </w:r>
          </w:p>
          <w:p w14:paraId="18EB2EA3" w14:textId="57C96A46" w:rsidR="00147C2E" w:rsidRDefault="00147C2E" w:rsidP="00147C2E">
            <w:pPr>
              <w:pStyle w:val="TableRowCentered"/>
              <w:ind w:left="0" w:right="0"/>
              <w:jc w:val="left"/>
            </w:pP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68D785" w14:textId="06F096D9" w:rsidR="00147C2E" w:rsidRDefault="00147C2E" w:rsidP="00C31636">
            <w:pPr>
              <w:pStyle w:val="TableRowCentered"/>
              <w:ind w:left="0" w:right="0"/>
              <w:jc w:val="left"/>
              <w:rPr>
                <w:sz w:val="22"/>
              </w:rPr>
            </w:pPr>
            <w:r>
              <w:t xml:space="preserve">4,5 </w:t>
            </w:r>
          </w:p>
        </w:tc>
      </w:tr>
      <w:tr w:rsidR="00922BBC" w14:paraId="5BBBF062" w14:textId="77777777">
        <w:tc>
          <w:tcPr>
            <w:tcW w:w="26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47273" w14:textId="4AD730C0" w:rsidR="00922BBC" w:rsidRDefault="00922BBC" w:rsidP="00C31636">
            <w:pPr>
              <w:pStyle w:val="TableRow"/>
              <w:ind w:left="0" w:right="0"/>
            </w:pPr>
            <w:r>
              <w:t>PINS training</w:t>
            </w:r>
          </w:p>
        </w:tc>
        <w:tc>
          <w:tcPr>
            <w:tcW w:w="42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76C34E" w14:textId="77777777" w:rsidR="00922BBC" w:rsidRDefault="00922BBC" w:rsidP="00147C2E">
            <w:pPr>
              <w:pStyle w:val="TableRowCentered"/>
              <w:ind w:left="0" w:right="0"/>
              <w:jc w:val="left"/>
            </w:pPr>
            <w:r>
              <w:t xml:space="preserve">Training of </w:t>
            </w:r>
            <w:proofErr w:type="spellStart"/>
            <w:r>
              <w:t>SENDCo</w:t>
            </w:r>
            <w:proofErr w:type="spellEnd"/>
            <w:r w:rsidR="002959E9">
              <w:t>: identifying</w:t>
            </w:r>
            <w:r w:rsidR="00467A20">
              <w:t xml:space="preserve"> neurodiversity</w:t>
            </w:r>
            <w:r w:rsidR="002959E9">
              <w:t>, diagnosi</w:t>
            </w:r>
            <w:r w:rsidR="00D50565">
              <w:t xml:space="preserve">s, support and strategies to help </w:t>
            </w:r>
            <w:proofErr w:type="spellStart"/>
            <w:r w:rsidR="00D50565">
              <w:t>neurodivergent</w:t>
            </w:r>
            <w:proofErr w:type="spellEnd"/>
            <w:r w:rsidR="00D50565">
              <w:t xml:space="preserve"> children </w:t>
            </w:r>
            <w:r w:rsidR="002959E9">
              <w:t xml:space="preserve">to access learning </w:t>
            </w:r>
            <w:r w:rsidR="00D50565">
              <w:t>in the classroom. To be disseminated to all staff.</w:t>
            </w:r>
          </w:p>
          <w:p w14:paraId="1F068B8B" w14:textId="201990AD" w:rsidR="00282170" w:rsidRDefault="002E1A2B" w:rsidP="00147C2E">
            <w:pPr>
              <w:pStyle w:val="TableRowCentered"/>
              <w:ind w:left="0" w:right="0"/>
              <w:jc w:val="left"/>
            </w:pPr>
            <w:hyperlink r:id="rId17" w:history="1">
              <w:r w:rsidR="00282170" w:rsidRPr="007E6EB6">
                <w:rPr>
                  <w:rStyle w:val="Hyperlink"/>
                </w:rPr>
                <w:t>https://educationendowmentfoundation.org.uk/education-evidence/teaching-learning-toolkit/social-and-emotional-learning</w:t>
              </w:r>
            </w:hyperlink>
          </w:p>
          <w:p w14:paraId="7E59336E" w14:textId="77777777" w:rsidR="00282170" w:rsidRDefault="00282170" w:rsidP="00147C2E">
            <w:pPr>
              <w:pStyle w:val="TableRowCentered"/>
              <w:ind w:left="0" w:right="0"/>
              <w:jc w:val="left"/>
            </w:pPr>
          </w:p>
          <w:p w14:paraId="217784CA" w14:textId="45B36419" w:rsidR="00282170" w:rsidRDefault="00282170" w:rsidP="00147C2E">
            <w:pPr>
              <w:pStyle w:val="TableRowCentered"/>
              <w:ind w:left="0" w:right="0"/>
              <w:jc w:val="left"/>
            </w:pPr>
            <w:r>
              <w:lastRenderedPageBreak/>
              <w:t>shows a score of +4 for social and emotional learning</w:t>
            </w:r>
          </w:p>
        </w:tc>
        <w:tc>
          <w:tcPr>
            <w:tcW w:w="25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2DF927" w14:textId="73A93D50" w:rsidR="00922BBC" w:rsidRDefault="002959E9" w:rsidP="00C31636">
            <w:pPr>
              <w:pStyle w:val="TableRowCentered"/>
              <w:ind w:left="0" w:right="0"/>
              <w:jc w:val="left"/>
            </w:pPr>
            <w:r>
              <w:lastRenderedPageBreak/>
              <w:t>5</w:t>
            </w:r>
          </w:p>
        </w:tc>
      </w:tr>
    </w:tbl>
    <w:p w14:paraId="2A7D5540" w14:textId="77777777" w:rsidR="00E66558" w:rsidRDefault="00E66558">
      <w:pPr>
        <w:spacing w:before="240" w:after="0"/>
        <w:rPr>
          <w:b/>
          <w:bCs/>
          <w:color w:val="104F75"/>
          <w:sz w:val="28"/>
          <w:szCs w:val="28"/>
        </w:rPr>
      </w:pPr>
    </w:p>
    <w:p w14:paraId="2A7D5541" w14:textId="39F2CD3F" w:rsidR="00E66558" w:rsidRDefault="00147C2E" w:rsidP="00120AB1">
      <w:r>
        <w:rPr>
          <w:b/>
          <w:bCs/>
          <w:color w:val="104F75"/>
          <w:sz w:val="28"/>
          <w:szCs w:val="28"/>
        </w:rPr>
        <w:t>Total budgeted cost: £</w:t>
      </w:r>
      <w:r w:rsidRPr="00622F4F">
        <w:rPr>
          <w:rFonts w:cs="Arial"/>
          <w:color w:val="000000"/>
        </w:rPr>
        <w:t>53,620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5726C435">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tcPr>
          <w:p w14:paraId="643A47D4" w14:textId="2C1B9EAC" w:rsidR="00F84A6C" w:rsidRDefault="00F84A6C" w:rsidP="00242093">
            <w:pPr>
              <w:spacing w:before="60"/>
            </w:pPr>
            <w:r w:rsidRPr="007F2052">
              <w:rPr>
                <w:highlight w:val="yellow"/>
              </w:rPr>
              <w:t>Our int</w:t>
            </w:r>
            <w:r w:rsidR="007F2052" w:rsidRPr="007F2052">
              <w:rPr>
                <w:highlight w:val="yellow"/>
              </w:rPr>
              <w:t>ernal assessments during 2023/24</w:t>
            </w:r>
            <w:r w:rsidRPr="007F2052">
              <w:rPr>
                <w:highlight w:val="yellow"/>
              </w:rPr>
              <w:t xml:space="preserve"> suggest that the performance of disadvantaged pupils was lower than in the previous 3 years in key areas of the curriculum, although the gap is narrowing.</w:t>
            </w:r>
            <w:r>
              <w:t xml:space="preserve"> Our assessment of the reasons for these outcomes points primarily to Covid-19 impact, which disrupted all our subject areas to varying degrees</w:t>
            </w:r>
            <w:r w:rsidR="007F2052">
              <w:t xml:space="preserve">, the effects of which are still being seen as children move up through </w:t>
            </w:r>
            <w:proofErr w:type="gramStart"/>
            <w:r w:rsidR="007F2052">
              <w:t>school.</w:t>
            </w:r>
            <w:r>
              <w:t>.</w:t>
            </w:r>
            <w:proofErr w:type="gramEnd"/>
            <w:r>
              <w:t xml:space="preserve"> As evidenced in schools across the country, the gap as a result of school closure was most evident in our disadvantaged pupils as they were not able to benefit from our pupil premium funded improvements to teaching and targeted interventions to the degree we had intended. This gap is now closing due to targeted interventions and quality first teaching, but the effects of lockdown are still evident. </w:t>
            </w:r>
          </w:p>
          <w:p w14:paraId="1FA0A908" w14:textId="77777777" w:rsidR="00F84A6C" w:rsidRDefault="00F84A6C" w:rsidP="00242093">
            <w:pPr>
              <w:spacing w:before="60"/>
            </w:pPr>
            <w:r>
              <w:t xml:space="preserve">Target: Improve writing across the school, increasing the number of PP pupils working at ARE and GD - not achieved due to the ongoing effects of the lockdown </w:t>
            </w:r>
          </w:p>
          <w:p w14:paraId="3AB1BE9C" w14:textId="77777777" w:rsidR="00F84A6C" w:rsidRDefault="00F84A6C" w:rsidP="00242093">
            <w:pPr>
              <w:spacing w:before="60"/>
            </w:pPr>
            <w:r>
              <w:t xml:space="preserve">Target - To raise the attainment of PP children in all areas so that the gap begins to close by addressing their mental wellbeing and self-esteem – We used pupil premium funding to provide wellbeing support for all pupils, and targeted interventions where required. We are building on that approach with the activities detailed in this plan. The gap is closing but this support is still needed. </w:t>
            </w:r>
          </w:p>
          <w:p w14:paraId="546655AE" w14:textId="77777777" w:rsidR="00F84A6C" w:rsidRDefault="00F84A6C" w:rsidP="00242093">
            <w:pPr>
              <w:spacing w:before="60"/>
            </w:pPr>
            <w:r>
              <w:t xml:space="preserve">Target - To ensure that teachers are able to focus their teaching appropriately, through ongoing CPD, and TAs are able to target PP children who are underachieving - data and assessment, pupil progress meetings and ‘credible plans’ identified children at risk and TLAs worked with these children either in the classroom or in intervention groups, progress was shown but this problem is ongoing. </w:t>
            </w:r>
          </w:p>
          <w:p w14:paraId="3C8F33CC" w14:textId="7E49A67C" w:rsidR="007F2052" w:rsidRDefault="00F84A6C" w:rsidP="00242093">
            <w:pPr>
              <w:spacing w:before="60"/>
            </w:pPr>
            <w:r>
              <w:t>Target – To raise aspirations and encourage ambition of PP children – visitors to school have included the police (careers in the police force</w:t>
            </w:r>
            <w:r w:rsidR="007F2052">
              <w:t>, mini police programme</w:t>
            </w:r>
            <w:r>
              <w:t xml:space="preserve">), </w:t>
            </w:r>
            <w:proofErr w:type="spellStart"/>
            <w:r>
              <w:t>Lud</w:t>
            </w:r>
            <w:proofErr w:type="spellEnd"/>
            <w:r>
              <w:t xml:space="preserve"> Ramsey (African Caribbean Chesterfield Association), Ryan Cowling MBE (Paralympian)</w:t>
            </w:r>
            <w:r w:rsidR="007F2052">
              <w:t xml:space="preserve">, </w:t>
            </w:r>
            <w:proofErr w:type="spellStart"/>
            <w:r w:rsidR="007F2052" w:rsidRPr="004B0B77">
              <w:t>Kathak</w:t>
            </w:r>
            <w:proofErr w:type="spellEnd"/>
            <w:r w:rsidR="007F2052" w:rsidRPr="004B0B77">
              <w:t xml:space="preserve"> dancers</w:t>
            </w:r>
            <w:r w:rsidR="007F2052">
              <w:t xml:space="preserve"> from India</w:t>
            </w:r>
            <w:r>
              <w:t xml:space="preserve">. Children have experienced a number of trips related to topics taught. Topic planning has included learning and tasks which encourage aspiration. Children need </w:t>
            </w:r>
            <w:r w:rsidR="007F2052">
              <w:t>these experiences to be ongoing as lack of aspiration is a problem in the wider community.</w:t>
            </w:r>
            <w:r>
              <w:t xml:space="preserve"> </w:t>
            </w:r>
          </w:p>
          <w:p w14:paraId="0CFB620B" w14:textId="0224103A" w:rsidR="00F84A6C" w:rsidRDefault="00F84A6C" w:rsidP="00242093">
            <w:pPr>
              <w:spacing w:before="60"/>
            </w:pPr>
            <w:r>
              <w:t xml:space="preserve">Target - Increase language acquisition and vocabulary across the school – lack of nursery and playgroups during the pandemic has affected the language and communication of many pupils, as well as lack of parental interaction with their children. Medium term plans have an </w:t>
            </w:r>
            <w:proofErr w:type="spellStart"/>
            <w:r>
              <w:t>oracy</w:t>
            </w:r>
            <w:proofErr w:type="spellEnd"/>
            <w:r>
              <w:t xml:space="preserve"> focus </w:t>
            </w:r>
            <w:r w:rsidRPr="004B0B77">
              <w:t>but our recent Ofsted inspection identified language as an area for development</w:t>
            </w:r>
          </w:p>
          <w:p w14:paraId="04202003" w14:textId="77777777" w:rsidR="00F84A6C" w:rsidRDefault="00F84A6C" w:rsidP="00242093">
            <w:pPr>
              <w:spacing w:before="60"/>
            </w:pPr>
            <w:r>
              <w:lastRenderedPageBreak/>
              <w:t xml:space="preserve">Target - Quality first teaching for all children – teachers have ongoing CPD to ensure teaching is of the highest quality, along with recent development of a knowledge rich curriculum. Use of </w:t>
            </w:r>
            <w:proofErr w:type="spellStart"/>
            <w:r>
              <w:t>Walkthrus</w:t>
            </w:r>
            <w:proofErr w:type="spellEnd"/>
            <w:r>
              <w:t xml:space="preserve"> enables teachers to reflect on their teaching methods and try new strategies. </w:t>
            </w:r>
          </w:p>
          <w:p w14:paraId="5023926C" w14:textId="23391AED" w:rsidR="00F84A6C" w:rsidRPr="002F4C6F" w:rsidRDefault="00F84A6C" w:rsidP="00242093">
            <w:pPr>
              <w:spacing w:before="60"/>
              <w:rPr>
                <w:i/>
                <w:iCs/>
                <w:lang w:eastAsia="en-US"/>
              </w:rPr>
            </w:pPr>
            <w:r>
              <w:t>Target - Improve mental wellbeing and raise self-esteem - pupil behaviour, wellbeing and mental health were significantly impacted during the pandemic and this is now being exacerbated by the cost of living crisis. The impact was particularly acute for disadvantaged pupils. We used pupil premium funding to provide wellbeing support for all pupils</w:t>
            </w:r>
            <w:r w:rsidR="004B0B77">
              <w:t xml:space="preserve"> and families</w:t>
            </w:r>
            <w:r>
              <w:t>, and targeted interventions. This is monitored through ELSA evaluations and pupil voice. There is still significant need in this area.</w:t>
            </w:r>
          </w:p>
        </w:tc>
      </w:tr>
    </w:tbl>
    <w:p w14:paraId="2A7D5548" w14:textId="0199D85C" w:rsidR="00E66558" w:rsidRDefault="006D6372" w:rsidP="00A82A98">
      <w:pPr>
        <w:pStyle w:val="Heading2"/>
      </w:pPr>
      <w:r>
        <w:lastRenderedPageBreak/>
        <w:t>E</w:t>
      </w:r>
      <w:r w:rsidR="009D71E8">
        <w:t xml:space="preserve">xternally provided </w:t>
      </w:r>
      <w:r w:rsidR="009D71E8" w:rsidRPr="00781713">
        <w:t>programmes</w:t>
      </w:r>
    </w:p>
    <w:p w14:paraId="2A7D5549" w14:textId="6982BE0C" w:rsidR="00E66558" w:rsidRDefault="0B240EAF" w:rsidP="07FFD3D3">
      <w:pPr>
        <w:rPr>
          <w:i/>
          <w:iCs/>
        </w:rPr>
      </w:pPr>
      <w:r w:rsidRPr="07FFD3D3">
        <w:rPr>
          <w:i/>
          <w:iCs/>
        </w:rPr>
        <w:t>Please include the names of any non-</w:t>
      </w:r>
      <w:proofErr w:type="spellStart"/>
      <w:r w:rsidRPr="07FFD3D3">
        <w:rPr>
          <w:i/>
          <w:iCs/>
        </w:rPr>
        <w:t>DfE</w:t>
      </w:r>
      <w:proofErr w:type="spellEnd"/>
      <w:r w:rsidRPr="07FFD3D3">
        <w:rPr>
          <w:i/>
          <w:iCs/>
        </w:rPr>
        <w:t xml:space="preserve"> programmes that you </w:t>
      </w:r>
      <w:r w:rsidR="491E3A64" w:rsidRPr="07FFD3D3">
        <w:rPr>
          <w:i/>
          <w:iCs/>
        </w:rPr>
        <w:t xml:space="preserve">used your pupil premium to fund </w:t>
      </w:r>
      <w:r w:rsidRPr="07FFD3D3">
        <w:rPr>
          <w:i/>
          <w:iCs/>
        </w:rPr>
        <w:t xml:space="preserve">in the previous academic year. </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4C" w14:textId="77777777" w:rsidTr="00CA4421">
        <w:tc>
          <w:tcPr>
            <w:tcW w:w="4815"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A" w14:textId="77777777" w:rsidR="00E66558" w:rsidRDefault="009D71E8" w:rsidP="00F54FCB">
            <w:pPr>
              <w:pStyle w:val="TableHeader"/>
              <w:ind w:left="0" w:right="0"/>
              <w:jc w:val="left"/>
            </w:pPr>
            <w:r>
              <w:t>Programme</w:t>
            </w:r>
          </w:p>
        </w:tc>
        <w:tc>
          <w:tcPr>
            <w:tcW w:w="4671" w:type="dxa"/>
            <w:tcBorders>
              <w:top w:val="single" w:sz="4" w:space="0" w:color="000000"/>
              <w:left w:val="single" w:sz="4" w:space="0" w:color="000000"/>
              <w:bottom w:val="single" w:sz="4" w:space="0" w:color="000000"/>
              <w:right w:val="single" w:sz="4" w:space="0" w:color="000000"/>
            </w:tcBorders>
            <w:shd w:val="clear" w:color="auto" w:fill="CFDCE3"/>
            <w:tcMar>
              <w:top w:w="0" w:type="dxa"/>
              <w:left w:w="108" w:type="dxa"/>
              <w:bottom w:w="0" w:type="dxa"/>
              <w:right w:w="108" w:type="dxa"/>
            </w:tcMar>
          </w:tcPr>
          <w:p w14:paraId="2A7D554B" w14:textId="77777777" w:rsidR="00E66558" w:rsidRDefault="009D71E8" w:rsidP="00F54FCB">
            <w:pPr>
              <w:pStyle w:val="TableHeader"/>
              <w:ind w:left="0" w:right="0"/>
              <w:jc w:val="left"/>
            </w:pPr>
            <w:r>
              <w:t>Provider</w:t>
            </w:r>
          </w:p>
        </w:tc>
      </w:tr>
      <w:tr w:rsidR="00E66558" w14:paraId="2A7D554F"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D"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4E" w14:textId="77777777" w:rsidR="00E66558" w:rsidRDefault="00E66558" w:rsidP="00F54FCB">
            <w:pPr>
              <w:pStyle w:val="TableRowCentered"/>
              <w:ind w:left="0" w:right="0"/>
              <w:jc w:val="left"/>
            </w:pPr>
          </w:p>
        </w:tc>
      </w:tr>
      <w:tr w:rsidR="00E66558" w14:paraId="2A7D5552" w14:textId="77777777">
        <w:tc>
          <w:tcPr>
            <w:tcW w:w="48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0" w14:textId="77777777" w:rsidR="00E66558" w:rsidRDefault="00E66558" w:rsidP="00F54FCB">
            <w:pPr>
              <w:pStyle w:val="TableRow"/>
              <w:ind w:left="0" w:right="0"/>
            </w:pPr>
          </w:p>
        </w:tc>
        <w:tc>
          <w:tcPr>
            <w:tcW w:w="4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51" w14:textId="77777777" w:rsidR="00E66558" w:rsidRDefault="00E66558" w:rsidP="00F54FCB">
            <w:pPr>
              <w:pStyle w:val="TableRowCentered"/>
              <w:ind w:left="0" w:right="0"/>
              <w:jc w:val="left"/>
            </w:pPr>
          </w:p>
        </w:tc>
      </w:tr>
    </w:tbl>
    <w:p w14:paraId="2A7D5553" w14:textId="193B71B2" w:rsidR="00E66558" w:rsidRDefault="00E66558" w:rsidP="0008384B"/>
    <w:p w14:paraId="188578FB" w14:textId="537EFB51" w:rsidR="0008384B" w:rsidRDefault="0008384B" w:rsidP="0008384B"/>
    <w:p w14:paraId="497C2CDD" w14:textId="3BD1FD57" w:rsidR="0008384B" w:rsidRDefault="0008384B" w:rsidP="0008384B"/>
    <w:p w14:paraId="01F0D165" w14:textId="1FC4C866" w:rsidR="0008384B" w:rsidRDefault="0008384B" w:rsidP="0008384B"/>
    <w:p w14:paraId="540A892B" w14:textId="3B30AD65" w:rsidR="0008384B" w:rsidRPr="0008384B" w:rsidRDefault="0008384B" w:rsidP="0008384B">
      <w:pPr>
        <w:pStyle w:val="Heading2"/>
      </w:pPr>
      <w:r w:rsidRPr="0008384B">
        <w:t>Service pupil premium funding (optional)</w:t>
      </w:r>
    </w:p>
    <w:tbl>
      <w:tblPr>
        <w:tblStyle w:val="TableGrid"/>
        <w:tblW w:w="0" w:type="auto"/>
        <w:tblLook w:val="04A0" w:firstRow="1" w:lastRow="0" w:firstColumn="1" w:lastColumn="0" w:noHBand="0" w:noVBand="1"/>
      </w:tblPr>
      <w:tblGrid>
        <w:gridCol w:w="9486"/>
      </w:tblGrid>
      <w:tr w:rsidR="00ED5108" w14:paraId="60D4B166" w14:textId="77777777" w:rsidTr="00CA4421">
        <w:tc>
          <w:tcPr>
            <w:tcW w:w="9486" w:type="dxa"/>
            <w:shd w:val="clear" w:color="auto" w:fill="CFDCE3"/>
          </w:tcPr>
          <w:p w14:paraId="4641AE9E" w14:textId="2758D317" w:rsidR="00ED5108" w:rsidRPr="00E86F05" w:rsidRDefault="009D71E8" w:rsidP="00F54FCB">
            <w:pPr>
              <w:spacing w:before="60" w:after="60"/>
              <w:rPr>
                <w:b/>
                <w:bCs/>
              </w:rPr>
            </w:pPr>
            <w:r>
              <w:rPr>
                <w:i/>
                <w:iCs/>
              </w:rPr>
              <w:t xml:space="preserve">For schools that receive this funding, you may wish to provide the following information: </w:t>
            </w:r>
            <w:r w:rsidR="00ED5108" w:rsidRPr="00E86F05">
              <w:rPr>
                <w:b/>
                <w:bCs/>
                <w:color w:val="000000"/>
                <w:szCs w:val="28"/>
              </w:rPr>
              <w:t>How our service pupil premium allocation was spent last academic year</w:t>
            </w:r>
          </w:p>
        </w:tc>
      </w:tr>
      <w:tr w:rsidR="00ED5108" w14:paraId="3EA0D00B" w14:textId="77777777" w:rsidTr="00ED5108">
        <w:tc>
          <w:tcPr>
            <w:tcW w:w="9486" w:type="dxa"/>
          </w:tcPr>
          <w:p w14:paraId="5AA67344" w14:textId="77777777" w:rsidR="00ED5108" w:rsidRDefault="00ED5108" w:rsidP="00F54FCB"/>
        </w:tc>
      </w:tr>
      <w:tr w:rsidR="00ED5108" w14:paraId="2D016C33" w14:textId="77777777" w:rsidTr="00CA4421">
        <w:tc>
          <w:tcPr>
            <w:tcW w:w="9486" w:type="dxa"/>
            <w:shd w:val="clear" w:color="auto" w:fill="CFDCE3"/>
          </w:tcPr>
          <w:p w14:paraId="3A5A15C1" w14:textId="789D6271" w:rsidR="00ED5108" w:rsidRPr="00E86F05" w:rsidRDefault="00ED5108" w:rsidP="00F54FCB">
            <w:pPr>
              <w:spacing w:before="60" w:after="60"/>
              <w:rPr>
                <w:b/>
                <w:bCs/>
              </w:rPr>
            </w:pPr>
            <w:r w:rsidRPr="00E86F05">
              <w:rPr>
                <w:b/>
                <w:bCs/>
                <w:color w:val="000000"/>
                <w:szCs w:val="28"/>
              </w:rPr>
              <w:t>The impact of that spending on service pupil premium eligible pupils</w:t>
            </w:r>
          </w:p>
        </w:tc>
      </w:tr>
      <w:tr w:rsidR="00ED5108" w14:paraId="703D7ACC" w14:textId="77777777" w:rsidTr="00ED5108">
        <w:tc>
          <w:tcPr>
            <w:tcW w:w="9486" w:type="dxa"/>
          </w:tcPr>
          <w:p w14:paraId="2AA0A743" w14:textId="77777777" w:rsidR="00ED5108" w:rsidRDefault="00ED5108" w:rsidP="00F54FCB"/>
        </w:tc>
      </w:tr>
    </w:tbl>
    <w:p w14:paraId="2A7D555F" w14:textId="77777777" w:rsidR="00E66558" w:rsidRDefault="00E66558">
      <w:pPr>
        <w:spacing w:after="0" w:line="240" w:lineRule="auto"/>
      </w:pPr>
    </w:p>
    <w:p w14:paraId="2A7D5560" w14:textId="77777777" w:rsidR="00E66558" w:rsidRDefault="009D71E8">
      <w:pPr>
        <w:pStyle w:val="Heading1"/>
      </w:pPr>
      <w:r>
        <w:lastRenderedPageBreak/>
        <w:t>Further information (optional)</w:t>
      </w:r>
    </w:p>
    <w:tbl>
      <w:tblPr>
        <w:tblW w:w="9486" w:type="dxa"/>
        <w:tblCellMar>
          <w:left w:w="10" w:type="dxa"/>
          <w:right w:w="10" w:type="dxa"/>
        </w:tblCellMar>
        <w:tblLook w:val="04A0" w:firstRow="1" w:lastRow="0" w:firstColumn="1" w:lastColumn="0" w:noHBand="0" w:noVBand="1"/>
      </w:tblPr>
      <w:tblGrid>
        <w:gridCol w:w="9486"/>
      </w:tblGrid>
      <w:tr w:rsidR="00E66558" w14:paraId="2A7D5563" w14:textId="77777777">
        <w:tc>
          <w:tcPr>
            <w:tcW w:w="94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D5562" w14:textId="5E40952C" w:rsidR="00E66558" w:rsidRPr="00AA355B" w:rsidRDefault="00E66558">
            <w:pPr>
              <w:spacing w:before="120" w:after="120"/>
              <w:rPr>
                <w:rFonts w:cs="Arial"/>
                <w:i/>
                <w:iCs/>
              </w:rPr>
            </w:pPr>
          </w:p>
        </w:tc>
      </w:tr>
      <w:bookmarkEnd w:id="14"/>
      <w:bookmarkEnd w:id="15"/>
      <w:bookmarkEnd w:id="16"/>
    </w:tbl>
    <w:p w14:paraId="2A7D5564" w14:textId="77777777" w:rsidR="00E66558" w:rsidRDefault="00E66558"/>
    <w:sectPr w:rsidR="00E66558">
      <w:headerReference w:type="default" r:id="rId18"/>
      <w:footerReference w:type="default" r:id="rId19"/>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6F905B" w14:textId="77777777" w:rsidR="002E1A2B" w:rsidRDefault="002E1A2B">
      <w:pPr>
        <w:spacing w:after="0" w:line="240" w:lineRule="auto"/>
      </w:pPr>
      <w:r>
        <w:separator/>
      </w:r>
    </w:p>
  </w:endnote>
  <w:endnote w:type="continuationSeparator" w:id="0">
    <w:p w14:paraId="2273C7CD" w14:textId="77777777" w:rsidR="002E1A2B" w:rsidRDefault="002E1A2B">
      <w:pPr>
        <w:spacing w:after="0" w:line="240" w:lineRule="auto"/>
      </w:pPr>
      <w:r>
        <w:continuationSeparator/>
      </w:r>
    </w:p>
  </w:endnote>
  <w:endnote w:type="continuationNotice" w:id="1">
    <w:p w14:paraId="6B74BC67" w14:textId="77777777" w:rsidR="002E1A2B" w:rsidRDefault="002E1A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E" w14:textId="1B4B090E" w:rsidR="00C373EA" w:rsidRDefault="009D71E8">
    <w:pPr>
      <w:pStyle w:val="Footer"/>
      <w:ind w:firstLine="4513"/>
    </w:pPr>
    <w:r>
      <w:fldChar w:fldCharType="begin"/>
    </w:r>
    <w:r>
      <w:instrText xml:space="preserve"> PAGE </w:instrText>
    </w:r>
    <w:r>
      <w:fldChar w:fldCharType="separate"/>
    </w:r>
    <w:r w:rsidR="009B5CB2">
      <w:rPr>
        <w:noProof/>
      </w:rPr>
      <w:t>4</w:t>
    </w:r>
    <w: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C9700F3" w14:textId="77777777" w:rsidR="002E1A2B" w:rsidRDefault="002E1A2B">
      <w:pPr>
        <w:spacing w:after="0" w:line="240" w:lineRule="auto"/>
      </w:pPr>
      <w:r>
        <w:separator/>
      </w:r>
    </w:p>
  </w:footnote>
  <w:footnote w:type="continuationSeparator" w:id="0">
    <w:p w14:paraId="3767BE0C" w14:textId="77777777" w:rsidR="002E1A2B" w:rsidRDefault="002E1A2B">
      <w:pPr>
        <w:spacing w:after="0" w:line="240" w:lineRule="auto"/>
      </w:pPr>
      <w:r>
        <w:continuationSeparator/>
      </w:r>
    </w:p>
  </w:footnote>
  <w:footnote w:type="continuationNotice" w:id="1">
    <w:p w14:paraId="76A2483D" w14:textId="77777777" w:rsidR="002E1A2B" w:rsidRDefault="002E1A2B">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7F36A23"/>
    <w:multiLevelType w:val="hybridMultilevel"/>
    <w:tmpl w:val="2E942A06"/>
    <w:lvl w:ilvl="0" w:tplc="7D905DAC">
      <w:start w:val="1"/>
      <w:numFmt w:val="decimal"/>
      <w:lvlText w:val="%1."/>
      <w:lvlJc w:val="left"/>
      <w:pPr>
        <w:ind w:left="1020" w:hanging="360"/>
      </w:pPr>
    </w:lvl>
    <w:lvl w:ilvl="1" w:tplc="E46A73AC">
      <w:start w:val="1"/>
      <w:numFmt w:val="decimal"/>
      <w:lvlText w:val="%2."/>
      <w:lvlJc w:val="left"/>
      <w:pPr>
        <w:ind w:left="1020" w:hanging="360"/>
      </w:pPr>
    </w:lvl>
    <w:lvl w:ilvl="2" w:tplc="1D7EF400">
      <w:start w:val="1"/>
      <w:numFmt w:val="decimal"/>
      <w:lvlText w:val="%3."/>
      <w:lvlJc w:val="left"/>
      <w:pPr>
        <w:ind w:left="1020" w:hanging="360"/>
      </w:pPr>
    </w:lvl>
    <w:lvl w:ilvl="3" w:tplc="25F47FF4">
      <w:start w:val="1"/>
      <w:numFmt w:val="decimal"/>
      <w:lvlText w:val="%4."/>
      <w:lvlJc w:val="left"/>
      <w:pPr>
        <w:ind w:left="1020" w:hanging="360"/>
      </w:pPr>
    </w:lvl>
    <w:lvl w:ilvl="4" w:tplc="3A4E2C48">
      <w:start w:val="1"/>
      <w:numFmt w:val="decimal"/>
      <w:lvlText w:val="%5."/>
      <w:lvlJc w:val="left"/>
      <w:pPr>
        <w:ind w:left="1020" w:hanging="360"/>
      </w:pPr>
    </w:lvl>
    <w:lvl w:ilvl="5" w:tplc="3E128F6E">
      <w:start w:val="1"/>
      <w:numFmt w:val="decimal"/>
      <w:lvlText w:val="%6."/>
      <w:lvlJc w:val="left"/>
      <w:pPr>
        <w:ind w:left="1020" w:hanging="360"/>
      </w:pPr>
    </w:lvl>
    <w:lvl w:ilvl="6" w:tplc="DBF6F8CE">
      <w:start w:val="1"/>
      <w:numFmt w:val="decimal"/>
      <w:lvlText w:val="%7."/>
      <w:lvlJc w:val="left"/>
      <w:pPr>
        <w:ind w:left="1020" w:hanging="360"/>
      </w:pPr>
    </w:lvl>
    <w:lvl w:ilvl="7" w:tplc="9E34E108">
      <w:start w:val="1"/>
      <w:numFmt w:val="decimal"/>
      <w:lvlText w:val="%8."/>
      <w:lvlJc w:val="left"/>
      <w:pPr>
        <w:ind w:left="1020" w:hanging="360"/>
      </w:pPr>
    </w:lvl>
    <w:lvl w:ilvl="8" w:tplc="90767D7C">
      <w:start w:val="1"/>
      <w:numFmt w:val="decimal"/>
      <w:lvlText w:val="%9."/>
      <w:lvlJc w:val="left"/>
      <w:pPr>
        <w:ind w:left="1020" w:hanging="360"/>
      </w:pPr>
    </w:lvl>
  </w:abstractNum>
  <w:abstractNum w:abstractNumId="2" w15:restartNumberingAfterBreak="0">
    <w:nsid w:val="1E240C3D"/>
    <w:multiLevelType w:val="hybridMultilevel"/>
    <w:tmpl w:val="6E5EA584"/>
    <w:lvl w:ilvl="0" w:tplc="3446E8C8">
      <w:start w:val="1"/>
      <w:numFmt w:val="decimal"/>
      <w:lvlText w:val="%1."/>
      <w:lvlJc w:val="left"/>
      <w:pPr>
        <w:ind w:left="1020" w:hanging="360"/>
      </w:pPr>
    </w:lvl>
    <w:lvl w:ilvl="1" w:tplc="F0D84BFC">
      <w:start w:val="1"/>
      <w:numFmt w:val="decimal"/>
      <w:lvlText w:val="%2."/>
      <w:lvlJc w:val="left"/>
      <w:pPr>
        <w:ind w:left="1020" w:hanging="360"/>
      </w:pPr>
    </w:lvl>
    <w:lvl w:ilvl="2" w:tplc="50A644D0">
      <w:start w:val="1"/>
      <w:numFmt w:val="decimal"/>
      <w:lvlText w:val="%3."/>
      <w:lvlJc w:val="left"/>
      <w:pPr>
        <w:ind w:left="1020" w:hanging="360"/>
      </w:pPr>
    </w:lvl>
    <w:lvl w:ilvl="3" w:tplc="6F825C02">
      <w:start w:val="1"/>
      <w:numFmt w:val="decimal"/>
      <w:lvlText w:val="%4."/>
      <w:lvlJc w:val="left"/>
      <w:pPr>
        <w:ind w:left="1020" w:hanging="360"/>
      </w:pPr>
    </w:lvl>
    <w:lvl w:ilvl="4" w:tplc="3744AF80">
      <w:start w:val="1"/>
      <w:numFmt w:val="decimal"/>
      <w:lvlText w:val="%5."/>
      <w:lvlJc w:val="left"/>
      <w:pPr>
        <w:ind w:left="1020" w:hanging="360"/>
      </w:pPr>
    </w:lvl>
    <w:lvl w:ilvl="5" w:tplc="65CCB1A2">
      <w:start w:val="1"/>
      <w:numFmt w:val="decimal"/>
      <w:lvlText w:val="%6."/>
      <w:lvlJc w:val="left"/>
      <w:pPr>
        <w:ind w:left="1020" w:hanging="360"/>
      </w:pPr>
    </w:lvl>
    <w:lvl w:ilvl="6" w:tplc="1146F358">
      <w:start w:val="1"/>
      <w:numFmt w:val="decimal"/>
      <w:lvlText w:val="%7."/>
      <w:lvlJc w:val="left"/>
      <w:pPr>
        <w:ind w:left="1020" w:hanging="360"/>
      </w:pPr>
    </w:lvl>
    <w:lvl w:ilvl="7" w:tplc="FFCA9F62">
      <w:start w:val="1"/>
      <w:numFmt w:val="decimal"/>
      <w:lvlText w:val="%8."/>
      <w:lvlJc w:val="left"/>
      <w:pPr>
        <w:ind w:left="1020" w:hanging="360"/>
      </w:pPr>
    </w:lvl>
    <w:lvl w:ilvl="8" w:tplc="FF0283CC">
      <w:start w:val="1"/>
      <w:numFmt w:val="decimal"/>
      <w:lvlText w:val="%9."/>
      <w:lvlJc w:val="left"/>
      <w:pPr>
        <w:ind w:left="1020" w:hanging="360"/>
      </w:p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37A60BB"/>
    <w:multiLevelType w:val="hybridMultilevel"/>
    <w:tmpl w:val="4A4247AE"/>
    <w:lvl w:ilvl="0" w:tplc="2ED40268">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73D2738"/>
    <w:multiLevelType w:val="hybridMultilevel"/>
    <w:tmpl w:val="66BA4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DF3112"/>
    <w:multiLevelType w:val="multilevel"/>
    <w:tmpl w:val="9132B202"/>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3"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4"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5"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6"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5"/>
  </w:num>
  <w:num w:numId="2">
    <w:abstractNumId w:val="3"/>
  </w:num>
  <w:num w:numId="3">
    <w:abstractNumId w:val="6"/>
  </w:num>
  <w:num w:numId="4">
    <w:abstractNumId w:val="7"/>
  </w:num>
  <w:num w:numId="5">
    <w:abstractNumId w:val="0"/>
  </w:num>
  <w:num w:numId="6">
    <w:abstractNumId w:val="8"/>
  </w:num>
  <w:num w:numId="7">
    <w:abstractNumId w:val="12"/>
  </w:num>
  <w:num w:numId="8">
    <w:abstractNumId w:val="16"/>
  </w:num>
  <w:num w:numId="9">
    <w:abstractNumId w:val="14"/>
  </w:num>
  <w:num w:numId="10">
    <w:abstractNumId w:val="13"/>
  </w:num>
  <w:num w:numId="11">
    <w:abstractNumId w:val="4"/>
  </w:num>
  <w:num w:numId="12">
    <w:abstractNumId w:val="15"/>
  </w:num>
  <w:num w:numId="13">
    <w:abstractNumId w:val="11"/>
  </w:num>
  <w:num w:numId="14">
    <w:abstractNumId w:val="9"/>
  </w:num>
  <w:num w:numId="15">
    <w:abstractNumId w:val="2"/>
  </w:num>
  <w:num w:numId="16">
    <w:abstractNumId w:val="1"/>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6558"/>
    <w:rsid w:val="00003A45"/>
    <w:rsid w:val="00007067"/>
    <w:rsid w:val="00023729"/>
    <w:rsid w:val="000243B4"/>
    <w:rsid w:val="0002530E"/>
    <w:rsid w:val="0002710D"/>
    <w:rsid w:val="00031EA0"/>
    <w:rsid w:val="00036678"/>
    <w:rsid w:val="000452EB"/>
    <w:rsid w:val="00045603"/>
    <w:rsid w:val="000463AE"/>
    <w:rsid w:val="000507A3"/>
    <w:rsid w:val="00060A62"/>
    <w:rsid w:val="00064366"/>
    <w:rsid w:val="00066B73"/>
    <w:rsid w:val="00071481"/>
    <w:rsid w:val="00071D77"/>
    <w:rsid w:val="00075F3A"/>
    <w:rsid w:val="00075FAE"/>
    <w:rsid w:val="00082F38"/>
    <w:rsid w:val="000837DB"/>
    <w:rsid w:val="0008384B"/>
    <w:rsid w:val="000929EC"/>
    <w:rsid w:val="00093CDE"/>
    <w:rsid w:val="000A5C58"/>
    <w:rsid w:val="000A6379"/>
    <w:rsid w:val="000B0D49"/>
    <w:rsid w:val="000B203E"/>
    <w:rsid w:val="000D22B0"/>
    <w:rsid w:val="000D318D"/>
    <w:rsid w:val="000D35C9"/>
    <w:rsid w:val="000D520C"/>
    <w:rsid w:val="000D6596"/>
    <w:rsid w:val="000D6779"/>
    <w:rsid w:val="000E6DF0"/>
    <w:rsid w:val="001037CB"/>
    <w:rsid w:val="0010629E"/>
    <w:rsid w:val="00114288"/>
    <w:rsid w:val="00115538"/>
    <w:rsid w:val="00116FA8"/>
    <w:rsid w:val="00120AB1"/>
    <w:rsid w:val="00123A7F"/>
    <w:rsid w:val="001278D0"/>
    <w:rsid w:val="00127F72"/>
    <w:rsid w:val="00140646"/>
    <w:rsid w:val="00143EFC"/>
    <w:rsid w:val="0014409B"/>
    <w:rsid w:val="00147A4B"/>
    <w:rsid w:val="00147C2E"/>
    <w:rsid w:val="00152554"/>
    <w:rsid w:val="00155944"/>
    <w:rsid w:val="001559D7"/>
    <w:rsid w:val="00163C7B"/>
    <w:rsid w:val="0016523C"/>
    <w:rsid w:val="00166782"/>
    <w:rsid w:val="001671ED"/>
    <w:rsid w:val="00170714"/>
    <w:rsid w:val="00171D79"/>
    <w:rsid w:val="0017264D"/>
    <w:rsid w:val="001727FA"/>
    <w:rsid w:val="00172B0F"/>
    <w:rsid w:val="00173D4C"/>
    <w:rsid w:val="001759B6"/>
    <w:rsid w:val="001761E3"/>
    <w:rsid w:val="00181A7E"/>
    <w:rsid w:val="00182FD8"/>
    <w:rsid w:val="00183218"/>
    <w:rsid w:val="00184079"/>
    <w:rsid w:val="00185988"/>
    <w:rsid w:val="00186666"/>
    <w:rsid w:val="001873B6"/>
    <w:rsid w:val="001901E6"/>
    <w:rsid w:val="00191305"/>
    <w:rsid w:val="001948FB"/>
    <w:rsid w:val="00195B55"/>
    <w:rsid w:val="001A2FE8"/>
    <w:rsid w:val="001A33AC"/>
    <w:rsid w:val="001C1C51"/>
    <w:rsid w:val="001D4FC9"/>
    <w:rsid w:val="001E0ECA"/>
    <w:rsid w:val="001E206F"/>
    <w:rsid w:val="001E5750"/>
    <w:rsid w:val="001E66BA"/>
    <w:rsid w:val="001E7739"/>
    <w:rsid w:val="001F3DB4"/>
    <w:rsid w:val="001F7564"/>
    <w:rsid w:val="00203B3A"/>
    <w:rsid w:val="00203DB9"/>
    <w:rsid w:val="00204F40"/>
    <w:rsid w:val="00205DEF"/>
    <w:rsid w:val="002112C3"/>
    <w:rsid w:val="002131E5"/>
    <w:rsid w:val="00216C8A"/>
    <w:rsid w:val="00226317"/>
    <w:rsid w:val="00231539"/>
    <w:rsid w:val="00242093"/>
    <w:rsid w:val="00243F22"/>
    <w:rsid w:val="002523E3"/>
    <w:rsid w:val="00252AD6"/>
    <w:rsid w:val="002542CE"/>
    <w:rsid w:val="00257A4E"/>
    <w:rsid w:val="00266FA5"/>
    <w:rsid w:val="00276FBA"/>
    <w:rsid w:val="00277665"/>
    <w:rsid w:val="00282170"/>
    <w:rsid w:val="002837AE"/>
    <w:rsid w:val="00287FA8"/>
    <w:rsid w:val="002920F4"/>
    <w:rsid w:val="002940F3"/>
    <w:rsid w:val="00295842"/>
    <w:rsid w:val="002959E9"/>
    <w:rsid w:val="002B3574"/>
    <w:rsid w:val="002B6B74"/>
    <w:rsid w:val="002C6AE7"/>
    <w:rsid w:val="002D2D4B"/>
    <w:rsid w:val="002D3805"/>
    <w:rsid w:val="002E1A2B"/>
    <w:rsid w:val="002E66AE"/>
    <w:rsid w:val="002E7763"/>
    <w:rsid w:val="002F4C6F"/>
    <w:rsid w:val="002F5011"/>
    <w:rsid w:val="002F5842"/>
    <w:rsid w:val="002F7847"/>
    <w:rsid w:val="00306CB7"/>
    <w:rsid w:val="00307ABF"/>
    <w:rsid w:val="003111F5"/>
    <w:rsid w:val="00317664"/>
    <w:rsid w:val="00336200"/>
    <w:rsid w:val="00337418"/>
    <w:rsid w:val="00351D83"/>
    <w:rsid w:val="00352197"/>
    <w:rsid w:val="00353E46"/>
    <w:rsid w:val="003576C4"/>
    <w:rsid w:val="0036277A"/>
    <w:rsid w:val="00366AB0"/>
    <w:rsid w:val="003700E8"/>
    <w:rsid w:val="0037437C"/>
    <w:rsid w:val="00381127"/>
    <w:rsid w:val="0038146B"/>
    <w:rsid w:val="0038340F"/>
    <w:rsid w:val="00384457"/>
    <w:rsid w:val="00384F24"/>
    <w:rsid w:val="003A32B2"/>
    <w:rsid w:val="003A47DD"/>
    <w:rsid w:val="003A5F67"/>
    <w:rsid w:val="003A634F"/>
    <w:rsid w:val="003B14C1"/>
    <w:rsid w:val="003B2884"/>
    <w:rsid w:val="003B588A"/>
    <w:rsid w:val="003B621D"/>
    <w:rsid w:val="003C4388"/>
    <w:rsid w:val="003C4C27"/>
    <w:rsid w:val="003C7F7B"/>
    <w:rsid w:val="003D0CD6"/>
    <w:rsid w:val="003D2EAA"/>
    <w:rsid w:val="003D448C"/>
    <w:rsid w:val="003E054C"/>
    <w:rsid w:val="003E1EC5"/>
    <w:rsid w:val="003E27A0"/>
    <w:rsid w:val="003E3872"/>
    <w:rsid w:val="004044AA"/>
    <w:rsid w:val="004044C8"/>
    <w:rsid w:val="00404F3F"/>
    <w:rsid w:val="00410B5D"/>
    <w:rsid w:val="00413BEC"/>
    <w:rsid w:val="0042265E"/>
    <w:rsid w:val="00424ED7"/>
    <w:rsid w:val="00425258"/>
    <w:rsid w:val="00426217"/>
    <w:rsid w:val="00431A80"/>
    <w:rsid w:val="00433641"/>
    <w:rsid w:val="00435A89"/>
    <w:rsid w:val="00440478"/>
    <w:rsid w:val="00452267"/>
    <w:rsid w:val="00453307"/>
    <w:rsid w:val="00454EE1"/>
    <w:rsid w:val="00455A02"/>
    <w:rsid w:val="00457E36"/>
    <w:rsid w:val="00460BD3"/>
    <w:rsid w:val="00462F8F"/>
    <w:rsid w:val="00467A20"/>
    <w:rsid w:val="004708F2"/>
    <w:rsid w:val="004724DE"/>
    <w:rsid w:val="004770FE"/>
    <w:rsid w:val="0048157F"/>
    <w:rsid w:val="00481D56"/>
    <w:rsid w:val="00490408"/>
    <w:rsid w:val="0049190C"/>
    <w:rsid w:val="004A4C45"/>
    <w:rsid w:val="004A55C4"/>
    <w:rsid w:val="004B0485"/>
    <w:rsid w:val="004B0B77"/>
    <w:rsid w:val="004B0ED7"/>
    <w:rsid w:val="004B1F58"/>
    <w:rsid w:val="004B428E"/>
    <w:rsid w:val="004B4D0A"/>
    <w:rsid w:val="004B4D37"/>
    <w:rsid w:val="004C42F0"/>
    <w:rsid w:val="004D50C8"/>
    <w:rsid w:val="004D6B72"/>
    <w:rsid w:val="004E1D73"/>
    <w:rsid w:val="004E5450"/>
    <w:rsid w:val="004E57C3"/>
    <w:rsid w:val="004E72DD"/>
    <w:rsid w:val="004F22CD"/>
    <w:rsid w:val="005025FB"/>
    <w:rsid w:val="00503462"/>
    <w:rsid w:val="0051286E"/>
    <w:rsid w:val="00516021"/>
    <w:rsid w:val="00516457"/>
    <w:rsid w:val="00516641"/>
    <w:rsid w:val="0051729F"/>
    <w:rsid w:val="005201C6"/>
    <w:rsid w:val="00520A0C"/>
    <w:rsid w:val="00530E37"/>
    <w:rsid w:val="00535946"/>
    <w:rsid w:val="005452CF"/>
    <w:rsid w:val="005464A1"/>
    <w:rsid w:val="00546F12"/>
    <w:rsid w:val="0055167E"/>
    <w:rsid w:val="0055339C"/>
    <w:rsid w:val="005542CC"/>
    <w:rsid w:val="00560424"/>
    <w:rsid w:val="00562B3C"/>
    <w:rsid w:val="005646FA"/>
    <w:rsid w:val="00564E40"/>
    <w:rsid w:val="005702D2"/>
    <w:rsid w:val="00573E1D"/>
    <w:rsid w:val="005750E2"/>
    <w:rsid w:val="0058313F"/>
    <w:rsid w:val="00585859"/>
    <w:rsid w:val="00586FBC"/>
    <w:rsid w:val="005879C9"/>
    <w:rsid w:val="00594CAD"/>
    <w:rsid w:val="005A1D0B"/>
    <w:rsid w:val="005A3C6B"/>
    <w:rsid w:val="005B1EA5"/>
    <w:rsid w:val="005C0BBD"/>
    <w:rsid w:val="005C54A0"/>
    <w:rsid w:val="005D0D15"/>
    <w:rsid w:val="005D7176"/>
    <w:rsid w:val="005E18CB"/>
    <w:rsid w:val="005E1F24"/>
    <w:rsid w:val="005E3667"/>
    <w:rsid w:val="005E73F1"/>
    <w:rsid w:val="005F07EF"/>
    <w:rsid w:val="005F16B6"/>
    <w:rsid w:val="005F2600"/>
    <w:rsid w:val="005F5224"/>
    <w:rsid w:val="005F7AA1"/>
    <w:rsid w:val="00600B2E"/>
    <w:rsid w:val="00601122"/>
    <w:rsid w:val="0060475B"/>
    <w:rsid w:val="00606521"/>
    <w:rsid w:val="00607CEB"/>
    <w:rsid w:val="00613299"/>
    <w:rsid w:val="0061762D"/>
    <w:rsid w:val="00622F4F"/>
    <w:rsid w:val="00634238"/>
    <w:rsid w:val="00635FBC"/>
    <w:rsid w:val="00636EB5"/>
    <w:rsid w:val="00637728"/>
    <w:rsid w:val="0064113A"/>
    <w:rsid w:val="0064167B"/>
    <w:rsid w:val="00643F96"/>
    <w:rsid w:val="00644002"/>
    <w:rsid w:val="0064526B"/>
    <w:rsid w:val="006458B1"/>
    <w:rsid w:val="00650529"/>
    <w:rsid w:val="00650BAB"/>
    <w:rsid w:val="00651737"/>
    <w:rsid w:val="00654E31"/>
    <w:rsid w:val="00656A8F"/>
    <w:rsid w:val="00661FDB"/>
    <w:rsid w:val="006652DD"/>
    <w:rsid w:val="006671BF"/>
    <w:rsid w:val="00671AEB"/>
    <w:rsid w:val="00672A7D"/>
    <w:rsid w:val="00681416"/>
    <w:rsid w:val="00694280"/>
    <w:rsid w:val="006A06F5"/>
    <w:rsid w:val="006A0ED2"/>
    <w:rsid w:val="006B0A73"/>
    <w:rsid w:val="006B5A6B"/>
    <w:rsid w:val="006C0F82"/>
    <w:rsid w:val="006C25E8"/>
    <w:rsid w:val="006C332E"/>
    <w:rsid w:val="006C5901"/>
    <w:rsid w:val="006D00F1"/>
    <w:rsid w:val="006D377A"/>
    <w:rsid w:val="006D4222"/>
    <w:rsid w:val="006D6372"/>
    <w:rsid w:val="006D68C4"/>
    <w:rsid w:val="006D6E5C"/>
    <w:rsid w:val="006E02AF"/>
    <w:rsid w:val="006E0786"/>
    <w:rsid w:val="006E6B4A"/>
    <w:rsid w:val="006E7449"/>
    <w:rsid w:val="006E7FB1"/>
    <w:rsid w:val="006F2604"/>
    <w:rsid w:val="006F5319"/>
    <w:rsid w:val="006F55FD"/>
    <w:rsid w:val="006F5D21"/>
    <w:rsid w:val="007061DA"/>
    <w:rsid w:val="007109F6"/>
    <w:rsid w:val="00711BE3"/>
    <w:rsid w:val="00721B51"/>
    <w:rsid w:val="00722CB3"/>
    <w:rsid w:val="00724594"/>
    <w:rsid w:val="00724FA7"/>
    <w:rsid w:val="00725415"/>
    <w:rsid w:val="007262CC"/>
    <w:rsid w:val="00727505"/>
    <w:rsid w:val="00731581"/>
    <w:rsid w:val="0073481D"/>
    <w:rsid w:val="00741B9E"/>
    <w:rsid w:val="00743DAC"/>
    <w:rsid w:val="007455B3"/>
    <w:rsid w:val="007502CD"/>
    <w:rsid w:val="00752AE7"/>
    <w:rsid w:val="00752D3B"/>
    <w:rsid w:val="0075337B"/>
    <w:rsid w:val="00755CD4"/>
    <w:rsid w:val="00757F96"/>
    <w:rsid w:val="007610B5"/>
    <w:rsid w:val="007623CB"/>
    <w:rsid w:val="00762652"/>
    <w:rsid w:val="00764551"/>
    <w:rsid w:val="0076556F"/>
    <w:rsid w:val="007677B8"/>
    <w:rsid w:val="00781713"/>
    <w:rsid w:val="00785285"/>
    <w:rsid w:val="0078529D"/>
    <w:rsid w:val="00785E77"/>
    <w:rsid w:val="0078720B"/>
    <w:rsid w:val="00787DC1"/>
    <w:rsid w:val="00794070"/>
    <w:rsid w:val="007A63CA"/>
    <w:rsid w:val="007A713B"/>
    <w:rsid w:val="007A7DA0"/>
    <w:rsid w:val="007B64E5"/>
    <w:rsid w:val="007C2F04"/>
    <w:rsid w:val="007D3F09"/>
    <w:rsid w:val="007E1F6A"/>
    <w:rsid w:val="007F06E5"/>
    <w:rsid w:val="007F2052"/>
    <w:rsid w:val="007F5B8B"/>
    <w:rsid w:val="00805BC0"/>
    <w:rsid w:val="00814FB9"/>
    <w:rsid w:val="00817E9A"/>
    <w:rsid w:val="00827786"/>
    <w:rsid w:val="00827BDA"/>
    <w:rsid w:val="00830D57"/>
    <w:rsid w:val="00831F00"/>
    <w:rsid w:val="00850CA0"/>
    <w:rsid w:val="00852A2F"/>
    <w:rsid w:val="008608EE"/>
    <w:rsid w:val="00860B07"/>
    <w:rsid w:val="008616F6"/>
    <w:rsid w:val="0086259C"/>
    <w:rsid w:val="008674ED"/>
    <w:rsid w:val="0087074C"/>
    <w:rsid w:val="00874913"/>
    <w:rsid w:val="00883F24"/>
    <w:rsid w:val="008954A1"/>
    <w:rsid w:val="00897E1F"/>
    <w:rsid w:val="008A3E8E"/>
    <w:rsid w:val="008B2CB4"/>
    <w:rsid w:val="008B3D82"/>
    <w:rsid w:val="008B5503"/>
    <w:rsid w:val="008B6404"/>
    <w:rsid w:val="008C2C21"/>
    <w:rsid w:val="008C7DD3"/>
    <w:rsid w:val="008D054C"/>
    <w:rsid w:val="008E000B"/>
    <w:rsid w:val="008E2926"/>
    <w:rsid w:val="008E35C6"/>
    <w:rsid w:val="008E3F49"/>
    <w:rsid w:val="008E7FBC"/>
    <w:rsid w:val="008F243B"/>
    <w:rsid w:val="008F4675"/>
    <w:rsid w:val="008F50FE"/>
    <w:rsid w:val="008F69CD"/>
    <w:rsid w:val="008F6E88"/>
    <w:rsid w:val="00901E60"/>
    <w:rsid w:val="00904A66"/>
    <w:rsid w:val="00905029"/>
    <w:rsid w:val="00921A3A"/>
    <w:rsid w:val="0092287F"/>
    <w:rsid w:val="00922BBC"/>
    <w:rsid w:val="0092495B"/>
    <w:rsid w:val="0092660E"/>
    <w:rsid w:val="00936519"/>
    <w:rsid w:val="009413AA"/>
    <w:rsid w:val="00941DA3"/>
    <w:rsid w:val="00942C0C"/>
    <w:rsid w:val="00951711"/>
    <w:rsid w:val="009539E3"/>
    <w:rsid w:val="00954083"/>
    <w:rsid w:val="00954A5E"/>
    <w:rsid w:val="009551B2"/>
    <w:rsid w:val="0096022C"/>
    <w:rsid w:val="009619B1"/>
    <w:rsid w:val="00964625"/>
    <w:rsid w:val="00965B57"/>
    <w:rsid w:val="00980937"/>
    <w:rsid w:val="00981C1D"/>
    <w:rsid w:val="0099109C"/>
    <w:rsid w:val="009936DB"/>
    <w:rsid w:val="00993CFC"/>
    <w:rsid w:val="009A1DC2"/>
    <w:rsid w:val="009A5EEA"/>
    <w:rsid w:val="009B0906"/>
    <w:rsid w:val="009B38F2"/>
    <w:rsid w:val="009B5CB2"/>
    <w:rsid w:val="009B7433"/>
    <w:rsid w:val="009C0914"/>
    <w:rsid w:val="009C27E5"/>
    <w:rsid w:val="009D24A1"/>
    <w:rsid w:val="009D3891"/>
    <w:rsid w:val="009D71E8"/>
    <w:rsid w:val="009E0CF5"/>
    <w:rsid w:val="009E104B"/>
    <w:rsid w:val="009E299F"/>
    <w:rsid w:val="009E7DE4"/>
    <w:rsid w:val="009F3BBD"/>
    <w:rsid w:val="00A022AB"/>
    <w:rsid w:val="00A02C2D"/>
    <w:rsid w:val="00A063DD"/>
    <w:rsid w:val="00A112B5"/>
    <w:rsid w:val="00A14EEA"/>
    <w:rsid w:val="00A33636"/>
    <w:rsid w:val="00A44FBB"/>
    <w:rsid w:val="00A50104"/>
    <w:rsid w:val="00A522E0"/>
    <w:rsid w:val="00A52823"/>
    <w:rsid w:val="00A60E28"/>
    <w:rsid w:val="00A63579"/>
    <w:rsid w:val="00A638AC"/>
    <w:rsid w:val="00A64475"/>
    <w:rsid w:val="00A727E5"/>
    <w:rsid w:val="00A748B5"/>
    <w:rsid w:val="00A7797A"/>
    <w:rsid w:val="00A80A32"/>
    <w:rsid w:val="00A81948"/>
    <w:rsid w:val="00A82A98"/>
    <w:rsid w:val="00A82D16"/>
    <w:rsid w:val="00A82D75"/>
    <w:rsid w:val="00A852F2"/>
    <w:rsid w:val="00A8712A"/>
    <w:rsid w:val="00A95F75"/>
    <w:rsid w:val="00A968DA"/>
    <w:rsid w:val="00A96B83"/>
    <w:rsid w:val="00AA355B"/>
    <w:rsid w:val="00AA42E5"/>
    <w:rsid w:val="00AB24FA"/>
    <w:rsid w:val="00AB5161"/>
    <w:rsid w:val="00AD7B5A"/>
    <w:rsid w:val="00AE229F"/>
    <w:rsid w:val="00AF0618"/>
    <w:rsid w:val="00AF5E20"/>
    <w:rsid w:val="00B002FA"/>
    <w:rsid w:val="00B00327"/>
    <w:rsid w:val="00B024B3"/>
    <w:rsid w:val="00B11DE8"/>
    <w:rsid w:val="00B179ED"/>
    <w:rsid w:val="00B20E18"/>
    <w:rsid w:val="00B331E1"/>
    <w:rsid w:val="00B4532A"/>
    <w:rsid w:val="00B47C66"/>
    <w:rsid w:val="00B572C4"/>
    <w:rsid w:val="00B60858"/>
    <w:rsid w:val="00B60D69"/>
    <w:rsid w:val="00B6234E"/>
    <w:rsid w:val="00B74D4E"/>
    <w:rsid w:val="00B80219"/>
    <w:rsid w:val="00B87184"/>
    <w:rsid w:val="00B91453"/>
    <w:rsid w:val="00BA19A5"/>
    <w:rsid w:val="00BB2907"/>
    <w:rsid w:val="00BB6902"/>
    <w:rsid w:val="00BC078B"/>
    <w:rsid w:val="00BC3A7D"/>
    <w:rsid w:val="00BC67F6"/>
    <w:rsid w:val="00BD2004"/>
    <w:rsid w:val="00BD4B12"/>
    <w:rsid w:val="00BD700D"/>
    <w:rsid w:val="00BE2F92"/>
    <w:rsid w:val="00BE44AC"/>
    <w:rsid w:val="00BF0D5F"/>
    <w:rsid w:val="00BF30FC"/>
    <w:rsid w:val="00BF59B3"/>
    <w:rsid w:val="00BF6F95"/>
    <w:rsid w:val="00C10BCF"/>
    <w:rsid w:val="00C11EB4"/>
    <w:rsid w:val="00C12746"/>
    <w:rsid w:val="00C23C11"/>
    <w:rsid w:val="00C2441E"/>
    <w:rsid w:val="00C25827"/>
    <w:rsid w:val="00C31636"/>
    <w:rsid w:val="00C31BB8"/>
    <w:rsid w:val="00C373EA"/>
    <w:rsid w:val="00C43CA3"/>
    <w:rsid w:val="00C43D9D"/>
    <w:rsid w:val="00C43EA4"/>
    <w:rsid w:val="00C50040"/>
    <w:rsid w:val="00C52DFF"/>
    <w:rsid w:val="00C574E1"/>
    <w:rsid w:val="00C621C1"/>
    <w:rsid w:val="00C62989"/>
    <w:rsid w:val="00C65CBB"/>
    <w:rsid w:val="00C74684"/>
    <w:rsid w:val="00C77FEF"/>
    <w:rsid w:val="00C80F37"/>
    <w:rsid w:val="00C83659"/>
    <w:rsid w:val="00C839C1"/>
    <w:rsid w:val="00C97A7F"/>
    <w:rsid w:val="00CA2561"/>
    <w:rsid w:val="00CA4421"/>
    <w:rsid w:val="00CA5363"/>
    <w:rsid w:val="00CA7D07"/>
    <w:rsid w:val="00CB24A4"/>
    <w:rsid w:val="00CB5B17"/>
    <w:rsid w:val="00CB6AA0"/>
    <w:rsid w:val="00CC4443"/>
    <w:rsid w:val="00CC5ACF"/>
    <w:rsid w:val="00CC5CAF"/>
    <w:rsid w:val="00CE6896"/>
    <w:rsid w:val="00CE7E1B"/>
    <w:rsid w:val="00D04F25"/>
    <w:rsid w:val="00D06874"/>
    <w:rsid w:val="00D07530"/>
    <w:rsid w:val="00D07FCB"/>
    <w:rsid w:val="00D173F7"/>
    <w:rsid w:val="00D20203"/>
    <w:rsid w:val="00D204E0"/>
    <w:rsid w:val="00D21354"/>
    <w:rsid w:val="00D22400"/>
    <w:rsid w:val="00D23F4A"/>
    <w:rsid w:val="00D264E2"/>
    <w:rsid w:val="00D278BA"/>
    <w:rsid w:val="00D33FE5"/>
    <w:rsid w:val="00D348C0"/>
    <w:rsid w:val="00D3578A"/>
    <w:rsid w:val="00D43A15"/>
    <w:rsid w:val="00D4463C"/>
    <w:rsid w:val="00D46182"/>
    <w:rsid w:val="00D46C7D"/>
    <w:rsid w:val="00D501EE"/>
    <w:rsid w:val="00D50565"/>
    <w:rsid w:val="00D517DC"/>
    <w:rsid w:val="00D5360D"/>
    <w:rsid w:val="00D5590D"/>
    <w:rsid w:val="00D618E4"/>
    <w:rsid w:val="00D61DA5"/>
    <w:rsid w:val="00D642A3"/>
    <w:rsid w:val="00D71B8A"/>
    <w:rsid w:val="00D72C08"/>
    <w:rsid w:val="00D75247"/>
    <w:rsid w:val="00D81325"/>
    <w:rsid w:val="00D875ED"/>
    <w:rsid w:val="00D877D0"/>
    <w:rsid w:val="00D90013"/>
    <w:rsid w:val="00D91B9C"/>
    <w:rsid w:val="00D92C1B"/>
    <w:rsid w:val="00D94CC7"/>
    <w:rsid w:val="00D97901"/>
    <w:rsid w:val="00DA1AF4"/>
    <w:rsid w:val="00DB0C60"/>
    <w:rsid w:val="00DC641A"/>
    <w:rsid w:val="00DD21A1"/>
    <w:rsid w:val="00DD68FB"/>
    <w:rsid w:val="00DD6B7D"/>
    <w:rsid w:val="00DD6E14"/>
    <w:rsid w:val="00DE15AC"/>
    <w:rsid w:val="00DF2015"/>
    <w:rsid w:val="00E061EC"/>
    <w:rsid w:val="00E0696B"/>
    <w:rsid w:val="00E10E81"/>
    <w:rsid w:val="00E13E51"/>
    <w:rsid w:val="00E21F56"/>
    <w:rsid w:val="00E3014F"/>
    <w:rsid w:val="00E352F2"/>
    <w:rsid w:val="00E4286E"/>
    <w:rsid w:val="00E43EAD"/>
    <w:rsid w:val="00E62DCB"/>
    <w:rsid w:val="00E651DD"/>
    <w:rsid w:val="00E66558"/>
    <w:rsid w:val="00E70D81"/>
    <w:rsid w:val="00E726A6"/>
    <w:rsid w:val="00E73418"/>
    <w:rsid w:val="00E8109E"/>
    <w:rsid w:val="00E85C23"/>
    <w:rsid w:val="00E86F05"/>
    <w:rsid w:val="00EA3A2A"/>
    <w:rsid w:val="00EA6B46"/>
    <w:rsid w:val="00EB4556"/>
    <w:rsid w:val="00EB4A11"/>
    <w:rsid w:val="00EB64C8"/>
    <w:rsid w:val="00ED4136"/>
    <w:rsid w:val="00ED5108"/>
    <w:rsid w:val="00ED6AE8"/>
    <w:rsid w:val="00EE291B"/>
    <w:rsid w:val="00EE2CB2"/>
    <w:rsid w:val="00EF0C05"/>
    <w:rsid w:val="00EF485B"/>
    <w:rsid w:val="00EF5A6B"/>
    <w:rsid w:val="00F012CA"/>
    <w:rsid w:val="00F01752"/>
    <w:rsid w:val="00F017D2"/>
    <w:rsid w:val="00F0355A"/>
    <w:rsid w:val="00F05C44"/>
    <w:rsid w:val="00F15753"/>
    <w:rsid w:val="00F21F92"/>
    <w:rsid w:val="00F24A7E"/>
    <w:rsid w:val="00F32ABA"/>
    <w:rsid w:val="00F33DC0"/>
    <w:rsid w:val="00F33F28"/>
    <w:rsid w:val="00F35A40"/>
    <w:rsid w:val="00F35FDE"/>
    <w:rsid w:val="00F40DE1"/>
    <w:rsid w:val="00F4142A"/>
    <w:rsid w:val="00F54FCB"/>
    <w:rsid w:val="00F62587"/>
    <w:rsid w:val="00F631A6"/>
    <w:rsid w:val="00F63E9E"/>
    <w:rsid w:val="00F63FEA"/>
    <w:rsid w:val="00F66AA7"/>
    <w:rsid w:val="00F75603"/>
    <w:rsid w:val="00F76843"/>
    <w:rsid w:val="00F776E1"/>
    <w:rsid w:val="00F77E8D"/>
    <w:rsid w:val="00F84A6C"/>
    <w:rsid w:val="00F925EB"/>
    <w:rsid w:val="00F97033"/>
    <w:rsid w:val="00FA6DD0"/>
    <w:rsid w:val="00FC28DF"/>
    <w:rsid w:val="00FC5CD1"/>
    <w:rsid w:val="00FD1780"/>
    <w:rsid w:val="00FD2297"/>
    <w:rsid w:val="00FD406D"/>
    <w:rsid w:val="00FD6AC6"/>
    <w:rsid w:val="00FE3136"/>
    <w:rsid w:val="00FE50A3"/>
    <w:rsid w:val="00FE5204"/>
    <w:rsid w:val="00FE604C"/>
    <w:rsid w:val="00FF2000"/>
    <w:rsid w:val="00FF369D"/>
    <w:rsid w:val="00FF6CA3"/>
    <w:rsid w:val="00FF6FB0"/>
    <w:rsid w:val="00FF79A8"/>
    <w:rsid w:val="05B6D577"/>
    <w:rsid w:val="069AA0E3"/>
    <w:rsid w:val="07FFD3D3"/>
    <w:rsid w:val="0B240EAF"/>
    <w:rsid w:val="13173609"/>
    <w:rsid w:val="15511BA4"/>
    <w:rsid w:val="1A172959"/>
    <w:rsid w:val="1CBF4D92"/>
    <w:rsid w:val="2497129E"/>
    <w:rsid w:val="2860AB8E"/>
    <w:rsid w:val="2FFB967E"/>
    <w:rsid w:val="31CC4DD9"/>
    <w:rsid w:val="380BAE89"/>
    <w:rsid w:val="3A3F1ACF"/>
    <w:rsid w:val="3BE13FA2"/>
    <w:rsid w:val="3C5A6419"/>
    <w:rsid w:val="3EA4202B"/>
    <w:rsid w:val="407F390E"/>
    <w:rsid w:val="418407A1"/>
    <w:rsid w:val="491E3A64"/>
    <w:rsid w:val="4BF69EA0"/>
    <w:rsid w:val="5726C435"/>
    <w:rsid w:val="5C40C457"/>
    <w:rsid w:val="5F3A7B6B"/>
    <w:rsid w:val="617B4808"/>
    <w:rsid w:val="625D1A15"/>
    <w:rsid w:val="6948C1C2"/>
    <w:rsid w:val="6D28B1AF"/>
    <w:rsid w:val="6D616F43"/>
    <w:rsid w:val="6EB73EE5"/>
    <w:rsid w:val="709C33E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B17F33C7-39FE-477A-B0FE-FB66574435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aliases w:val="Dot pt,No Spacing1,List Paragraph Char Char Char,Indicator Text,Numbered Para 1,Bullet 1,List Paragraph1,F5 List Paragraph,Bullet Points,MAIN CONTENT,List Paragraph12,Bullet Style,Colorful List - Accent 11,Normal numbered,List Paragraph2"/>
    <w:basedOn w:val="Normal"/>
    <w:link w:val="ListParagraphChar"/>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uiPriority w:val="99"/>
  </w:style>
  <w:style w:type="paragraph" w:styleId="CommentText">
    <w:name w:val="annotation text"/>
    <w:basedOn w:val="Normal"/>
    <w:uiPriority w:val="99"/>
    <w:pPr>
      <w:spacing w:line="240" w:lineRule="auto"/>
    </w:pPr>
    <w:rPr>
      <w:sz w:val="20"/>
      <w:szCs w:val="20"/>
    </w:rPr>
  </w:style>
  <w:style w:type="character" w:customStyle="1" w:styleId="CommentTextChar">
    <w:name w:val="Comment Text Char"/>
    <w:basedOn w:val="DefaultParagraphFont"/>
    <w:uiPriority w:val="99"/>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customStyle="1"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customStyle="1"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Dot pt Char,No Spacing1 Char,List Paragraph Char Char Char Char,Indicator Text Char,Numbered Para 1 Char,Bullet 1 Char,List Paragraph1 Char,F5 List Paragraph Char,Bullet Points Char,MAIN CONTENT Char,List Paragraph12 Char"/>
    <w:basedOn w:val="DefaultParagraphFont"/>
    <w:link w:val="ListParagraph"/>
    <w:uiPriority w:val="34"/>
    <w:locked/>
    <w:rsid w:val="00721B51"/>
    <w:rPr>
      <w:color w:val="0D0D0D"/>
      <w:sz w:val="24"/>
      <w:szCs w:val="24"/>
    </w:rPr>
  </w:style>
  <w:style w:type="character" w:customStyle="1" w:styleId="ui-provider">
    <w:name w:val="ui-provider"/>
    <w:basedOn w:val="DefaultParagraphFont"/>
    <w:rsid w:val="00287F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3527995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educationendowmentfoundation.org.uk/education-evidence/teaching-learning-toolkit/reducing-class-size" TargetMode="External"/><Relationship Id="rId13" Type="http://schemas.openxmlformats.org/officeDocument/2006/relationships/hyperlink" Target="https://educationendowmentfoundation.org.uk/education-evidence/teaching-learning-toolk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educationendowmentfoundation.org.uk/education-evidence/teaching-learning-toolkit/small-group-tuition" TargetMode="External"/><Relationship Id="rId17" Type="http://schemas.openxmlformats.org/officeDocument/2006/relationships/hyperlink" Target="https://educationendowmentfoundation.org.uk/education-evidence/teaching-learning-toolkit/social-and-emotional-learning" TargetMode="External"/><Relationship Id="rId2" Type="http://schemas.openxmlformats.org/officeDocument/2006/relationships/numbering" Target="numbering.xml"/><Relationship Id="rId16" Type="http://schemas.openxmlformats.org/officeDocument/2006/relationships/hyperlink" Target="https://educationendowmentfoundation.org.uk/education-evidence/teaching-learning-toolkit/social-and-emotional-learning"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alkthrus.co.uk/how-does-it-work" TargetMode="External"/><Relationship Id="rId5" Type="http://schemas.openxmlformats.org/officeDocument/2006/relationships/webSettings" Target="webSettings.xml"/><Relationship Id="rId15" Type="http://schemas.openxmlformats.org/officeDocument/2006/relationships/hyperlink" Target="https://educationendowmentfoundation.org.uk/education-evidence/teaching-learning-toolkit/arts-participation" TargetMode="External"/><Relationship Id="rId10" Type="http://schemas.openxmlformats.org/officeDocument/2006/relationships/hyperlink" Target="https://educationendowmentfoundation.org.uk/education-evidence/teaching-learning-toolk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ducationendowmentfoundation.org.uk/education-evidence/teaching-learning-toolkit/mastery-learning" TargetMode="External"/><Relationship Id="rId14" Type="http://schemas.openxmlformats.org/officeDocument/2006/relationships/hyperlink" Target="https://educationendowmentfoundation.org.uk/education-evidence/teaching-learning-toolkit/collaborative-learning-approach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870AAE-86CB-42B9-A25B-2B8F62FC5B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1367</TotalTime>
  <Pages>12</Pages>
  <Words>3038</Words>
  <Characters>17323</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20321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Department for Education</dc:creator>
  <cp:keywords/>
  <dc:description/>
  <cp:lastModifiedBy>Sue de Brés</cp:lastModifiedBy>
  <cp:revision>30</cp:revision>
  <cp:lastPrinted>2014-09-18T05:26:00Z</cp:lastPrinted>
  <dcterms:created xsi:type="dcterms:W3CDTF">2024-12-12T13:59:00Z</dcterms:created>
  <dcterms:modified xsi:type="dcterms:W3CDTF">2024-12-13T15:06:00Z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